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区一届人大一次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会议文件</w:t>
      </w:r>
      <w:r>
        <w:rPr>
          <w:rFonts w:hint="eastAsia" w:ascii="黑体" w:hAnsi="黑体" w:eastAsia="黑体" w:cs="黑体"/>
          <w:b w:val="0"/>
          <w:bCs w:val="0"/>
          <w:spacing w:val="0"/>
          <w:w w:val="75"/>
          <w:kern w:val="0"/>
          <w:sz w:val="32"/>
          <w:szCs w:val="32"/>
          <w:fitText w:val="960" w:id="485380354"/>
          <w:lang w:val="en-US" w:eastAsia="zh-CN"/>
        </w:rPr>
        <w:t>（十三）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Theme="majorEastAsia" w:hAnsiTheme="majorEastAsia" w:eastAsiaTheme="majorEastAsia" w:cstheme="majorEastAsia"/>
          <w:b/>
          <w:bCs/>
          <w:i w:val="0"/>
          <w:iCs w:val="0"/>
          <w:caps w:val="0"/>
          <w:color w:val="000000" w:themeColor="text1"/>
          <w:spacing w:val="0"/>
          <w:sz w:val="32"/>
          <w:szCs w:val="32"/>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关于</w:t>
      </w:r>
      <w:r>
        <w:rPr>
          <w:rFonts w:hint="eastAsia" w:ascii="宋体" w:hAnsi="宋体" w:eastAsia="宋体" w:cs="宋体"/>
          <w:b/>
          <w:bCs/>
          <w:sz w:val="44"/>
          <w:szCs w:val="44"/>
          <w:lang w:val="en-US" w:eastAsia="zh-CN"/>
        </w:rPr>
        <w:t>红谷滩</w:t>
      </w:r>
      <w:r>
        <w:rPr>
          <w:rFonts w:hint="eastAsia" w:ascii="宋体" w:hAnsi="宋体" w:eastAsia="宋体" w:cs="宋体"/>
          <w:b/>
          <w:bCs/>
          <w:sz w:val="44"/>
          <w:szCs w:val="44"/>
        </w:rPr>
        <w:t>区202</w:t>
      </w:r>
      <w:r>
        <w:rPr>
          <w:rFonts w:hint="eastAsia" w:ascii="宋体" w:hAnsi="宋体" w:eastAsia="宋体" w:cs="宋体"/>
          <w:b/>
          <w:bCs/>
          <w:sz w:val="44"/>
          <w:szCs w:val="44"/>
          <w:lang w:val="en-US" w:eastAsia="zh-CN"/>
        </w:rPr>
        <w:t>1</w:t>
      </w:r>
      <w:r>
        <w:rPr>
          <w:rFonts w:hint="eastAsia" w:ascii="宋体" w:hAnsi="宋体" w:eastAsia="宋体" w:cs="宋体"/>
          <w:b/>
          <w:bCs/>
          <w:sz w:val="44"/>
          <w:szCs w:val="44"/>
        </w:rPr>
        <w:t>年财政</w:t>
      </w:r>
      <w:r>
        <w:rPr>
          <w:rFonts w:hint="eastAsia" w:ascii="宋体" w:hAnsi="宋体" w:eastAsia="宋体" w:cs="宋体"/>
          <w:b/>
          <w:bCs/>
          <w:sz w:val="44"/>
          <w:szCs w:val="44"/>
          <w:lang w:val="en-US" w:eastAsia="zh-CN"/>
        </w:rPr>
        <w:t>运行</w:t>
      </w:r>
      <w:r>
        <w:rPr>
          <w:rFonts w:hint="eastAsia" w:ascii="宋体" w:hAnsi="宋体" w:eastAsia="宋体" w:cs="宋体"/>
          <w:b/>
          <w:bCs/>
          <w:sz w:val="44"/>
          <w:szCs w:val="44"/>
        </w:rPr>
        <w:t>情况和</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202</w:t>
      </w:r>
      <w:r>
        <w:rPr>
          <w:rFonts w:hint="eastAsia" w:ascii="宋体" w:hAnsi="宋体" w:eastAsia="宋体" w:cs="宋体"/>
          <w:b/>
          <w:bCs/>
          <w:sz w:val="44"/>
          <w:szCs w:val="44"/>
          <w:lang w:val="en-US" w:eastAsia="zh-CN"/>
        </w:rPr>
        <w:t>2</w:t>
      </w:r>
      <w:r>
        <w:rPr>
          <w:rFonts w:hint="eastAsia" w:ascii="宋体" w:hAnsi="宋体" w:eastAsia="宋体" w:cs="宋体"/>
          <w:b/>
          <w:bCs/>
          <w:sz w:val="44"/>
          <w:szCs w:val="44"/>
        </w:rPr>
        <w:t>年财政总预算草案的报告</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（书面）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——2022年1月12日在红谷滩区第一届人民代表大会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第二次会议上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红谷滩区财政局局长  刘峰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default" w:ascii="Calibri" w:hAnsi="Calibri" w:cs="Calibri"/>
          <w:i w:val="0"/>
          <w:iCs w:val="0"/>
          <w:caps w:val="0"/>
          <w:color w:val="666666"/>
          <w:spacing w:val="0"/>
          <w:sz w:val="32"/>
          <w:szCs w:val="32"/>
        </w:rPr>
      </w:pPr>
      <w:r>
        <w:rPr>
          <w:rFonts w:hint="eastAsia" w:ascii="仿宋" w:hAnsi="仿宋" w:eastAsia="仿宋" w:cs="仿宋"/>
          <w:i w:val="0"/>
          <w:iCs w:val="0"/>
          <w:caps w:val="0"/>
          <w:color w:val="666666"/>
          <w:spacing w:val="0"/>
          <w:sz w:val="32"/>
          <w:szCs w:val="32"/>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仿宋" w:hAnsi="仿宋" w:eastAsia="仿宋" w:cs="仿宋"/>
          <w:b w:val="0"/>
          <w:bCs w:val="0"/>
          <w:color w:val="auto"/>
          <w:kern w:val="2"/>
          <w:sz w:val="32"/>
          <w:szCs w:val="32"/>
          <w:u w:val="none"/>
          <w:shd w:val="clear" w:color="auto" w:fill="auto"/>
          <w:lang w:val="en-US" w:eastAsia="zh-CN" w:bidi="ar-SA"/>
        </w:rPr>
      </w:pPr>
      <w:r>
        <w:rPr>
          <w:rFonts w:hint="eastAsia" w:ascii="仿宋" w:hAnsi="仿宋" w:eastAsia="仿宋" w:cs="仿宋"/>
          <w:b w:val="0"/>
          <w:bCs w:val="0"/>
          <w:color w:val="auto"/>
          <w:kern w:val="2"/>
          <w:sz w:val="32"/>
          <w:szCs w:val="32"/>
          <w:u w:val="none"/>
          <w:shd w:val="clear" w:color="auto" w:fill="auto"/>
          <w:lang w:val="en-US" w:eastAsia="zh-CN" w:bidi="ar-SA"/>
        </w:rPr>
        <w:t>各位代表：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 w:hAnsi="仿宋" w:eastAsia="仿宋" w:cs="仿宋"/>
          <w:b w:val="0"/>
          <w:bCs w:val="0"/>
          <w:color w:val="auto"/>
          <w:kern w:val="2"/>
          <w:sz w:val="32"/>
          <w:szCs w:val="32"/>
          <w:u w:val="none"/>
          <w:shd w:val="clear" w:color="auto" w:fill="auto"/>
          <w:lang w:val="en-US" w:eastAsia="zh-CN" w:bidi="ar-SA"/>
        </w:rPr>
      </w:pPr>
      <w:r>
        <w:rPr>
          <w:rFonts w:hint="eastAsia" w:ascii="仿宋" w:hAnsi="仿宋" w:eastAsia="仿宋" w:cs="仿宋"/>
          <w:b w:val="0"/>
          <w:bCs w:val="0"/>
          <w:color w:val="auto"/>
          <w:kern w:val="2"/>
          <w:sz w:val="32"/>
          <w:szCs w:val="32"/>
          <w:u w:val="none"/>
          <w:shd w:val="clear" w:color="auto" w:fill="auto"/>
          <w:lang w:val="en-US" w:eastAsia="zh-CN" w:bidi="ar-SA"/>
        </w:rPr>
        <w:t>受区人民政府委托，我向大会报告红谷滩区2021年财政运行情况和2022年财政总预算草案，请予审议，并请各位政协委员和列席会议的同志提出意见。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黑体" w:hAnsi="黑体" w:eastAsia="黑体" w:cs="黑体"/>
          <w:b/>
          <w:bCs/>
          <w:color w:val="auto"/>
          <w:kern w:val="2"/>
          <w:sz w:val="32"/>
          <w:szCs w:val="32"/>
          <w:u w:val="none"/>
          <w:shd w:val="clear" w:color="auto" w:fill="auto"/>
          <w:lang w:val="en-US" w:eastAsia="zh-CN" w:bidi="ar-SA"/>
        </w:rPr>
      </w:pPr>
      <w:r>
        <w:rPr>
          <w:rFonts w:hint="eastAsia" w:ascii="黑体" w:hAnsi="黑体" w:eastAsia="黑体" w:cs="黑体"/>
          <w:b/>
          <w:bCs/>
          <w:color w:val="auto"/>
          <w:kern w:val="2"/>
          <w:sz w:val="32"/>
          <w:szCs w:val="32"/>
          <w:u w:val="none"/>
          <w:shd w:val="clear" w:color="auto" w:fill="auto"/>
          <w:lang w:val="en-US" w:eastAsia="zh-CN" w:bidi="ar-SA"/>
        </w:rPr>
        <w:t>一、2021年财政运行情况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 w:hAnsi="楷体" w:eastAsia="楷体" w:cs="楷体"/>
          <w:b/>
          <w:bCs/>
          <w:color w:val="auto"/>
          <w:kern w:val="2"/>
          <w:sz w:val="32"/>
          <w:szCs w:val="32"/>
          <w:u w:val="none"/>
          <w:shd w:val="clear" w:color="auto" w:fill="auto"/>
          <w:lang w:val="en-US" w:eastAsia="zh-CN" w:bidi="ar-SA"/>
        </w:rPr>
      </w:pPr>
      <w:r>
        <w:rPr>
          <w:rFonts w:hint="eastAsia" w:ascii="楷体" w:hAnsi="楷体" w:eastAsia="楷体" w:cs="楷体"/>
          <w:b/>
          <w:bCs/>
          <w:color w:val="auto"/>
          <w:kern w:val="2"/>
          <w:sz w:val="32"/>
          <w:szCs w:val="32"/>
          <w:u w:val="none"/>
          <w:shd w:val="clear" w:color="auto" w:fill="auto"/>
          <w:lang w:val="en-US" w:eastAsia="zh-CN" w:bidi="ar-SA"/>
        </w:rPr>
        <w:t>（一）2021年财政运行效果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 w:hAnsi="仿宋" w:eastAsia="仿宋" w:cs="仿宋"/>
          <w:b w:val="0"/>
          <w:bCs w:val="0"/>
          <w:color w:val="auto"/>
          <w:kern w:val="2"/>
          <w:sz w:val="32"/>
          <w:szCs w:val="32"/>
          <w:u w:val="none"/>
          <w:shd w:val="clear" w:color="auto" w:fill="auto"/>
          <w:lang w:val="en-US" w:eastAsia="zh-CN" w:bidi="ar-SA"/>
        </w:rPr>
      </w:pPr>
      <w:r>
        <w:rPr>
          <w:rFonts w:hint="eastAsia" w:ascii="仿宋" w:hAnsi="仿宋" w:eastAsia="仿宋" w:cs="仿宋"/>
          <w:b w:val="0"/>
          <w:bCs w:val="0"/>
          <w:color w:val="auto"/>
          <w:kern w:val="2"/>
          <w:sz w:val="32"/>
          <w:szCs w:val="32"/>
          <w:u w:val="none"/>
          <w:shd w:val="clear" w:color="auto" w:fill="auto"/>
          <w:lang w:val="en-US" w:eastAsia="zh-CN" w:bidi="ar-SA"/>
        </w:rPr>
        <w:t>2021年是“十四五”规划开局之年，在这一年里，面对错综复杂的经济形势，面对我区从新区转为行政区后财政工作新局面，在区委的正确领导下，在区人大、区政协的监督支持下，全区财政工作坚持稳中求进总基调，充分发挥财政的职能作用，干部勇争先、开新局，确保财政运行平稳有序。</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default" w:ascii="仿宋" w:hAnsi="仿宋" w:eastAsia="仿宋" w:cs="仿宋"/>
          <w:b w:val="0"/>
          <w:bCs w:val="0"/>
          <w:color w:val="auto"/>
          <w:kern w:val="2"/>
          <w:sz w:val="32"/>
          <w:szCs w:val="32"/>
          <w:highlight w:val="none"/>
          <w:u w:val="none"/>
          <w:shd w:val="clear" w:color="auto" w:fill="auto"/>
          <w:lang w:val="en-US" w:eastAsia="zh-CN" w:bidi="ar-SA"/>
        </w:rPr>
      </w:pPr>
      <w:r>
        <w:rPr>
          <w:rFonts w:hint="eastAsia" w:ascii="楷体" w:hAnsi="楷体" w:eastAsia="楷体" w:cs="楷体"/>
          <w:b/>
          <w:bCs/>
          <w:color w:val="auto"/>
          <w:kern w:val="2"/>
          <w:sz w:val="32"/>
          <w:szCs w:val="32"/>
          <w:u w:val="none"/>
          <w:shd w:val="clear" w:color="auto" w:fill="auto"/>
          <w:lang w:val="en-US" w:eastAsia="zh-CN" w:bidi="ar-SA"/>
        </w:rPr>
        <w:t>1.千方百计抓收入，财政收入总体稳定</w:t>
      </w:r>
      <w:r>
        <w:rPr>
          <w:rFonts w:hint="eastAsia" w:ascii="仿宋" w:hAnsi="仿宋" w:eastAsia="仿宋" w:cs="仿宋"/>
          <w:b/>
          <w:bCs/>
          <w:color w:val="auto"/>
          <w:kern w:val="2"/>
          <w:sz w:val="32"/>
          <w:szCs w:val="32"/>
          <w:u w:val="none"/>
          <w:shd w:val="clear" w:color="auto" w:fill="auto"/>
          <w:lang w:val="en-US" w:eastAsia="zh-CN" w:bidi="ar-SA"/>
        </w:rPr>
        <w:t>。</w:t>
      </w:r>
      <w:r>
        <w:rPr>
          <w:rFonts w:hint="eastAsia" w:ascii="仿宋" w:hAnsi="仿宋" w:eastAsia="仿宋" w:cs="仿宋"/>
          <w:b w:val="0"/>
          <w:bCs w:val="0"/>
          <w:color w:val="auto"/>
          <w:kern w:val="2"/>
          <w:sz w:val="32"/>
          <w:szCs w:val="32"/>
          <w:u w:val="none"/>
          <w:shd w:val="clear" w:color="auto" w:fill="auto"/>
          <w:lang w:val="en-US" w:eastAsia="zh-CN" w:bidi="ar-SA"/>
        </w:rPr>
        <w:t>2021年以来，受房地产市场疲软、土地出让收入锐减、减税降费、土增税存量明显减少等因素叠加影响，我区财政收入形势严峻，面对困难区财税部门千方百计抓税收征管，竭尽全力稳企固税。</w:t>
      </w:r>
      <w:r>
        <w:rPr>
          <w:rFonts w:hint="eastAsia" w:ascii="仿宋" w:hAnsi="仿宋" w:eastAsia="仿宋" w:cs="仿宋"/>
          <w:b/>
          <w:bCs/>
          <w:color w:val="auto"/>
          <w:kern w:val="2"/>
          <w:sz w:val="32"/>
          <w:szCs w:val="32"/>
          <w:u w:val="none"/>
          <w:shd w:val="clear" w:color="auto" w:fill="auto"/>
          <w:lang w:val="en-US" w:eastAsia="zh-CN" w:bidi="ar-SA"/>
        </w:rPr>
        <w:t>一是抓各税种征收</w:t>
      </w:r>
      <w:r>
        <w:rPr>
          <w:rFonts w:hint="eastAsia" w:ascii="仿宋" w:hAnsi="仿宋" w:eastAsia="仿宋" w:cs="仿宋"/>
          <w:b w:val="0"/>
          <w:bCs w:val="0"/>
          <w:color w:val="auto"/>
          <w:kern w:val="2"/>
          <w:sz w:val="32"/>
          <w:szCs w:val="32"/>
          <w:u w:val="none"/>
          <w:shd w:val="clear" w:color="auto" w:fill="auto"/>
          <w:lang w:val="en-US" w:eastAsia="zh-CN" w:bidi="ar-SA"/>
        </w:rPr>
        <w:t>。在主体税种呈现较大幅度下降的情况下，税务部门加大了个人所得税、房产税和城镇土地使用税等税种的征收力度，2021年个人所得税本级收入1.24亿元，同比增长17.58%，房产税本级收入1.42亿元，同比增长46.49%，城镇土地使用税本级收入0.34亿元，同比增长33.79%，抵消了主体税种下降的部分压力。</w:t>
      </w:r>
      <w:r>
        <w:rPr>
          <w:rFonts w:hint="eastAsia" w:ascii="仿宋" w:hAnsi="仿宋" w:eastAsia="仿宋" w:cs="仿宋"/>
          <w:b/>
          <w:bCs/>
          <w:color w:val="auto"/>
          <w:kern w:val="2"/>
          <w:sz w:val="32"/>
          <w:szCs w:val="32"/>
          <w:u w:val="none"/>
          <w:shd w:val="clear" w:color="auto" w:fill="auto"/>
          <w:lang w:val="en-US" w:eastAsia="zh-CN" w:bidi="ar-SA"/>
        </w:rPr>
        <w:t>二是抓税收清算</w:t>
      </w:r>
      <w:r>
        <w:rPr>
          <w:rFonts w:hint="eastAsia" w:ascii="仿宋" w:hAnsi="仿宋" w:eastAsia="仿宋" w:cs="仿宋"/>
          <w:b w:val="0"/>
          <w:bCs w:val="0"/>
          <w:color w:val="auto"/>
          <w:kern w:val="2"/>
          <w:sz w:val="32"/>
          <w:szCs w:val="32"/>
          <w:u w:val="none"/>
          <w:shd w:val="clear" w:color="auto" w:fill="auto"/>
          <w:lang w:val="en-US" w:eastAsia="zh-CN" w:bidi="ar-SA"/>
        </w:rPr>
        <w:t>，税务部门加大了房地产项目的清算力度，</w:t>
      </w:r>
      <w:r>
        <w:rPr>
          <w:rFonts w:hint="eastAsia" w:ascii="仿宋" w:hAnsi="仿宋" w:eastAsia="仿宋" w:cs="仿宋"/>
          <w:b w:val="0"/>
          <w:bCs w:val="0"/>
          <w:color w:val="auto"/>
          <w:kern w:val="2"/>
          <w:sz w:val="32"/>
          <w:szCs w:val="32"/>
          <w:highlight w:val="none"/>
          <w:u w:val="none"/>
          <w:shd w:val="clear" w:color="auto" w:fill="auto"/>
          <w:lang w:val="en-US" w:eastAsia="zh-CN" w:bidi="ar-SA"/>
        </w:rPr>
        <w:t>对自行申报清算的项目通过第三方进行核查，通过核查确保税收应收尽收。</w:t>
      </w:r>
      <w:r>
        <w:rPr>
          <w:rFonts w:hint="eastAsia" w:ascii="仿宋" w:hAnsi="仿宋" w:eastAsia="仿宋" w:cs="仿宋"/>
          <w:b/>
          <w:bCs/>
          <w:color w:val="auto"/>
          <w:kern w:val="2"/>
          <w:sz w:val="32"/>
          <w:szCs w:val="32"/>
          <w:highlight w:val="none"/>
          <w:u w:val="none"/>
          <w:shd w:val="clear" w:color="auto" w:fill="auto"/>
          <w:lang w:val="en-US" w:eastAsia="zh-CN" w:bidi="ar-SA"/>
        </w:rPr>
        <w:t>三是抓制度建设</w:t>
      </w:r>
      <w:r>
        <w:rPr>
          <w:rFonts w:hint="eastAsia" w:ascii="仿宋" w:hAnsi="仿宋" w:eastAsia="仿宋" w:cs="仿宋"/>
          <w:b w:val="0"/>
          <w:bCs w:val="0"/>
          <w:color w:val="auto"/>
          <w:kern w:val="2"/>
          <w:sz w:val="32"/>
          <w:szCs w:val="32"/>
          <w:highlight w:val="none"/>
          <w:u w:val="none"/>
          <w:shd w:val="clear" w:color="auto" w:fill="auto"/>
          <w:lang w:val="en-US" w:eastAsia="zh-CN" w:bidi="ar-SA"/>
        </w:rPr>
        <w:t>，区政府下发了《红谷滩区关于社会综合治税工作的实施意见（试行）》，组建工作专班，充分调动我区涉税单位综合治税积极性，形成全社会齐抓共管的社会综合治税新格局，通过摸清纳税主体情况提供精准服务，促进全区财税收入稳步增长。</w:t>
      </w:r>
      <w:r>
        <w:rPr>
          <w:rFonts w:hint="eastAsia" w:ascii="仿宋" w:hAnsi="仿宋" w:eastAsia="仿宋" w:cs="仿宋"/>
          <w:b/>
          <w:bCs/>
          <w:color w:val="auto"/>
          <w:kern w:val="2"/>
          <w:sz w:val="32"/>
          <w:szCs w:val="32"/>
          <w:highlight w:val="none"/>
          <w:u w:val="none"/>
          <w:shd w:val="clear" w:color="auto" w:fill="auto"/>
          <w:lang w:val="en-US" w:eastAsia="zh-CN" w:bidi="ar-SA"/>
        </w:rPr>
        <w:t>四是抓非税收入入库</w:t>
      </w:r>
      <w:r>
        <w:rPr>
          <w:rFonts w:hint="eastAsia" w:ascii="仿宋" w:hAnsi="仿宋" w:eastAsia="仿宋" w:cs="仿宋"/>
          <w:b w:val="0"/>
          <w:bCs w:val="0"/>
          <w:color w:val="auto"/>
          <w:kern w:val="2"/>
          <w:sz w:val="32"/>
          <w:szCs w:val="32"/>
          <w:highlight w:val="none"/>
          <w:u w:val="none"/>
          <w:shd w:val="clear" w:color="auto" w:fill="auto"/>
          <w:lang w:val="en-US" w:eastAsia="zh-CN" w:bidi="ar-SA"/>
        </w:rPr>
        <w:t>，2021年我区非税收入入库8.27亿元，同比增长184.66%。</w:t>
      </w:r>
      <w:r>
        <w:rPr>
          <w:rFonts w:hint="eastAsia" w:ascii="仿宋" w:hAnsi="仿宋" w:eastAsia="仿宋" w:cs="仿宋"/>
          <w:b/>
          <w:bCs/>
          <w:color w:val="auto"/>
          <w:kern w:val="2"/>
          <w:sz w:val="32"/>
          <w:szCs w:val="32"/>
          <w:highlight w:val="none"/>
          <w:u w:val="none"/>
          <w:shd w:val="clear" w:color="auto" w:fill="auto"/>
          <w:lang w:val="en-US" w:eastAsia="zh-CN" w:bidi="ar-SA"/>
        </w:rPr>
        <w:t>五是抓税源培植，</w:t>
      </w:r>
      <w:r>
        <w:rPr>
          <w:rFonts w:hint="eastAsia" w:ascii="仿宋" w:hAnsi="仿宋" w:eastAsia="仿宋" w:cs="仿宋"/>
          <w:b w:val="0"/>
          <w:bCs w:val="0"/>
          <w:sz w:val="32"/>
          <w:szCs w:val="32"/>
          <w:highlight w:val="none"/>
          <w:lang w:val="en-US" w:eastAsia="zh-CN"/>
        </w:rPr>
        <w:t>安排资金用于产业招商引资，扶持VR产业、物联网产业等符合我区发展方向产业的发展。</w:t>
      </w:r>
      <w:r>
        <w:rPr>
          <w:rFonts w:hint="eastAsia" w:ascii="仿宋" w:hAnsi="仿宋" w:eastAsia="仿宋" w:cs="仿宋"/>
          <w:b w:val="0"/>
          <w:bCs w:val="0"/>
          <w:color w:val="auto"/>
          <w:kern w:val="2"/>
          <w:sz w:val="32"/>
          <w:szCs w:val="32"/>
          <w:highlight w:val="none"/>
          <w:u w:val="none"/>
          <w:shd w:val="clear" w:color="auto" w:fill="auto"/>
          <w:lang w:val="en-US" w:eastAsia="zh-CN" w:bidi="ar-SA"/>
        </w:rPr>
        <w:t>落实“财园信贷通”政策，向银行推荐35户企业，发放贷款1.63亿元。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仿宋" w:hAnsi="仿宋" w:eastAsia="仿宋" w:cs="仿宋"/>
          <w:b w:val="0"/>
          <w:bCs w:val="0"/>
          <w:color w:val="auto"/>
          <w:kern w:val="2"/>
          <w:sz w:val="32"/>
          <w:szCs w:val="32"/>
          <w:u w:val="none"/>
          <w:shd w:val="clear" w:color="auto" w:fill="auto"/>
          <w:lang w:val="en-US" w:eastAsia="zh-CN" w:bidi="ar-SA"/>
        </w:rPr>
      </w:pPr>
      <w:r>
        <w:rPr>
          <w:rFonts w:hint="eastAsia" w:ascii="楷体" w:hAnsi="楷体" w:eastAsia="楷体" w:cs="楷体"/>
          <w:b/>
          <w:bCs/>
          <w:color w:val="auto"/>
          <w:kern w:val="2"/>
          <w:sz w:val="32"/>
          <w:szCs w:val="32"/>
          <w:highlight w:val="none"/>
          <w:u w:val="none"/>
          <w:shd w:val="clear" w:color="auto" w:fill="auto"/>
          <w:lang w:val="en-US" w:eastAsia="zh-CN" w:bidi="ar-SA"/>
        </w:rPr>
        <w:t>2.积极主动争资金，统筹安排优结构。</w:t>
      </w:r>
      <w:r>
        <w:rPr>
          <w:rFonts w:hint="eastAsia" w:ascii="仿宋" w:hAnsi="仿宋" w:eastAsia="仿宋" w:cs="仿宋"/>
          <w:b/>
          <w:bCs/>
          <w:color w:val="auto"/>
          <w:kern w:val="2"/>
          <w:sz w:val="32"/>
          <w:szCs w:val="32"/>
          <w:highlight w:val="none"/>
          <w:u w:val="none"/>
          <w:shd w:val="clear" w:color="auto" w:fill="auto"/>
          <w:lang w:val="en-US" w:eastAsia="zh-CN" w:bidi="ar-SA"/>
        </w:rPr>
        <w:t>一是紧盯政策支持，积极争取债券资金。</w:t>
      </w:r>
      <w:r>
        <w:rPr>
          <w:rFonts w:hint="eastAsia" w:ascii="仿宋" w:hAnsi="仿宋" w:eastAsia="仿宋" w:cs="仿宋"/>
          <w:b w:val="0"/>
          <w:bCs w:val="0"/>
          <w:color w:val="auto"/>
          <w:kern w:val="2"/>
          <w:sz w:val="32"/>
          <w:szCs w:val="32"/>
          <w:highlight w:val="none"/>
          <w:u w:val="none"/>
          <w:shd w:val="clear" w:color="auto" w:fill="auto"/>
          <w:lang w:val="en-US" w:eastAsia="zh-CN" w:bidi="ar-SA"/>
        </w:rPr>
        <w:t>2021年红谷滩区争取到一般债券资金2.75亿元，专项债券资金12.64亿元，拓宽了资金筹集渠道，减轻了支付压</w:t>
      </w:r>
      <w:r>
        <w:rPr>
          <w:rFonts w:hint="eastAsia" w:ascii="仿宋" w:hAnsi="仿宋" w:eastAsia="仿宋" w:cs="仿宋"/>
          <w:b w:val="0"/>
          <w:bCs w:val="0"/>
          <w:color w:val="auto"/>
          <w:kern w:val="2"/>
          <w:sz w:val="32"/>
          <w:szCs w:val="32"/>
          <w:u w:val="none"/>
          <w:shd w:val="clear" w:color="auto" w:fill="auto"/>
          <w:lang w:val="en-US" w:eastAsia="zh-CN" w:bidi="ar-SA"/>
        </w:rPr>
        <w:t>力。</w:t>
      </w:r>
      <w:r>
        <w:rPr>
          <w:rFonts w:hint="eastAsia" w:ascii="仿宋" w:hAnsi="仿宋" w:eastAsia="仿宋" w:cs="仿宋"/>
          <w:b/>
          <w:bCs/>
          <w:color w:val="auto"/>
          <w:kern w:val="2"/>
          <w:sz w:val="32"/>
          <w:szCs w:val="32"/>
          <w:u w:val="none"/>
          <w:shd w:val="clear" w:color="auto" w:fill="auto"/>
          <w:lang w:val="en-US" w:eastAsia="zh-CN" w:bidi="ar-SA"/>
        </w:rPr>
        <w:t>二是牢固树立过“紧日子”思想，做到精打细算、厉行节约。</w:t>
      </w:r>
      <w:r>
        <w:rPr>
          <w:rFonts w:hint="eastAsia" w:ascii="仿宋" w:hAnsi="仿宋" w:eastAsia="仿宋" w:cs="仿宋"/>
          <w:b w:val="0"/>
          <w:bCs w:val="0"/>
          <w:color w:val="auto"/>
          <w:kern w:val="2"/>
          <w:sz w:val="32"/>
          <w:szCs w:val="32"/>
          <w:u w:val="none"/>
          <w:shd w:val="clear" w:color="auto" w:fill="auto"/>
          <w:lang w:val="en-US" w:eastAsia="zh-CN" w:bidi="ar-SA"/>
        </w:rPr>
        <w:t>在年初预算安排压减10%的基础上，8月份再一次压减一般性支出，优化项目支出；</w:t>
      </w:r>
      <w:r>
        <w:rPr>
          <w:rFonts w:hint="eastAsia" w:ascii="仿宋" w:hAnsi="仿宋" w:eastAsia="仿宋" w:cs="仿宋"/>
          <w:b/>
          <w:bCs/>
          <w:color w:val="auto"/>
          <w:kern w:val="2"/>
          <w:sz w:val="32"/>
          <w:szCs w:val="32"/>
          <w:u w:val="none"/>
          <w:shd w:val="clear" w:color="auto" w:fill="auto"/>
          <w:lang w:val="en-US" w:eastAsia="zh-CN" w:bidi="ar-SA"/>
        </w:rPr>
        <w:t>三是加大资金盘活力度。</w:t>
      </w:r>
      <w:r>
        <w:rPr>
          <w:rFonts w:hint="eastAsia" w:ascii="仿宋" w:hAnsi="仿宋" w:eastAsia="仿宋" w:cs="仿宋"/>
          <w:b w:val="0"/>
          <w:bCs w:val="0"/>
          <w:color w:val="auto"/>
          <w:kern w:val="2"/>
          <w:sz w:val="32"/>
          <w:szCs w:val="32"/>
          <w:u w:val="none"/>
          <w:shd w:val="clear" w:color="auto" w:fill="auto"/>
          <w:lang w:val="en-US" w:eastAsia="zh-CN" w:bidi="ar-SA"/>
        </w:rPr>
        <w:t>实行财政存量资金与预算安排相结合，部门结余资金全部收回财政统筹安排。2021年区本级盘活存量资金约</w:t>
      </w:r>
      <w:r>
        <w:rPr>
          <w:rFonts w:hint="eastAsia" w:ascii="仿宋" w:hAnsi="仿宋" w:eastAsia="仿宋" w:cs="仿宋"/>
          <w:b w:val="0"/>
          <w:bCs w:val="0"/>
          <w:color w:val="auto"/>
          <w:kern w:val="2"/>
          <w:sz w:val="32"/>
          <w:szCs w:val="32"/>
          <w:highlight w:val="none"/>
          <w:u w:val="none"/>
          <w:shd w:val="clear" w:color="auto" w:fill="auto"/>
          <w:lang w:val="en-US" w:eastAsia="zh-CN" w:bidi="ar-SA"/>
        </w:rPr>
        <w:t>3.73</w:t>
      </w:r>
      <w:r>
        <w:rPr>
          <w:rFonts w:hint="eastAsia" w:ascii="仿宋" w:hAnsi="仿宋" w:eastAsia="仿宋" w:cs="仿宋"/>
          <w:b w:val="0"/>
          <w:bCs w:val="0"/>
          <w:color w:val="auto"/>
          <w:kern w:val="2"/>
          <w:sz w:val="32"/>
          <w:szCs w:val="32"/>
          <w:u w:val="none"/>
          <w:shd w:val="clear" w:color="auto" w:fill="auto"/>
          <w:lang w:val="en-US" w:eastAsia="zh-CN" w:bidi="ar-SA"/>
        </w:rPr>
        <w:t>亿元，统筹用于基本民生保障方面的支出，提高资金使用效益。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仿宋" w:hAnsi="仿宋" w:eastAsia="仿宋" w:cs="仿宋"/>
          <w:b w:val="0"/>
          <w:bCs w:val="0"/>
          <w:color w:val="auto"/>
          <w:kern w:val="2"/>
          <w:sz w:val="32"/>
          <w:szCs w:val="32"/>
          <w:highlight w:val="none"/>
          <w:u w:val="none"/>
          <w:shd w:val="clear" w:color="auto" w:fill="auto"/>
          <w:lang w:val="en-US" w:eastAsia="zh-CN" w:bidi="ar-SA"/>
        </w:rPr>
      </w:pPr>
      <w:r>
        <w:rPr>
          <w:rFonts w:hint="eastAsia" w:ascii="楷体" w:hAnsi="楷体" w:eastAsia="楷体" w:cs="楷体"/>
          <w:b/>
          <w:bCs/>
          <w:color w:val="auto"/>
          <w:kern w:val="2"/>
          <w:sz w:val="32"/>
          <w:szCs w:val="32"/>
          <w:u w:val="none"/>
          <w:shd w:val="clear" w:color="auto" w:fill="auto"/>
          <w:lang w:val="en-US" w:eastAsia="zh-CN" w:bidi="ar-SA"/>
        </w:rPr>
        <w:t>3.全力以赴兜底线，持续发力惠民生。</w:t>
      </w:r>
      <w:r>
        <w:rPr>
          <w:rFonts w:hint="eastAsia" w:ascii="仿宋" w:hAnsi="仿宋" w:eastAsia="仿宋" w:cs="仿宋"/>
          <w:b w:val="0"/>
          <w:bCs w:val="0"/>
          <w:color w:val="auto"/>
          <w:kern w:val="2"/>
          <w:sz w:val="32"/>
          <w:szCs w:val="32"/>
          <w:u w:val="none"/>
          <w:shd w:val="clear" w:color="auto" w:fill="auto"/>
          <w:lang w:val="en-US" w:eastAsia="zh-CN" w:bidi="ar-SA"/>
        </w:rPr>
        <w:t>始终践行以人民为中心的理念，加大基本民生保障，在收入下行压力下，优先保障民生支出，2021年全年共安排民生类支出29.72亿元，占地方一般公共预算支出83.45%。</w:t>
      </w:r>
      <w:r>
        <w:rPr>
          <w:rFonts w:hint="eastAsia" w:ascii="仿宋" w:hAnsi="仿宋" w:eastAsia="仿宋" w:cs="仿宋"/>
          <w:b/>
          <w:bCs/>
          <w:color w:val="auto"/>
          <w:kern w:val="2"/>
          <w:sz w:val="32"/>
          <w:szCs w:val="32"/>
          <w:u w:val="none"/>
          <w:shd w:val="clear" w:color="auto" w:fill="auto"/>
          <w:lang w:val="en-US" w:eastAsia="zh-CN" w:bidi="ar-SA"/>
        </w:rPr>
        <w:t>一是立足“弱有所扶”。</w:t>
      </w:r>
      <w:r>
        <w:rPr>
          <w:rFonts w:hint="eastAsia" w:ascii="仿宋" w:hAnsi="仿宋" w:eastAsia="仿宋" w:cs="仿宋"/>
          <w:b w:val="0"/>
          <w:bCs w:val="0"/>
          <w:color w:val="auto"/>
          <w:kern w:val="2"/>
          <w:sz w:val="32"/>
          <w:szCs w:val="32"/>
          <w:u w:val="none"/>
          <w:shd w:val="clear" w:color="auto" w:fill="auto"/>
          <w:lang w:val="en-US" w:eastAsia="zh-CN" w:bidi="ar-SA"/>
        </w:rPr>
        <w:t>安排4.63亿元，</w:t>
      </w:r>
      <w:r>
        <w:rPr>
          <w:rFonts w:hint="eastAsia" w:ascii="仿宋" w:hAnsi="仿宋" w:eastAsia="仿宋" w:cs="仿宋"/>
          <w:b w:val="0"/>
          <w:bCs w:val="0"/>
          <w:color w:val="auto"/>
          <w:kern w:val="2"/>
          <w:sz w:val="32"/>
          <w:szCs w:val="32"/>
          <w:highlight w:val="none"/>
          <w:u w:val="none"/>
          <w:shd w:val="clear" w:color="auto" w:fill="auto"/>
          <w:lang w:val="en-US" w:eastAsia="zh-CN" w:bidi="ar-SA"/>
        </w:rPr>
        <w:t>用于基本公共卫生服务、城乡居民养老和医疗保险、残疾人两项补贴、高龄老人补贴、城市低保及特困供养、独生子女父母奖励等民生扶持和补助。</w:t>
      </w:r>
      <w:r>
        <w:rPr>
          <w:rFonts w:hint="eastAsia" w:ascii="仿宋" w:hAnsi="仿宋" w:eastAsia="仿宋" w:cs="仿宋"/>
          <w:b/>
          <w:bCs/>
          <w:color w:val="auto"/>
          <w:kern w:val="2"/>
          <w:sz w:val="32"/>
          <w:szCs w:val="32"/>
          <w:highlight w:val="none"/>
          <w:u w:val="none"/>
          <w:shd w:val="clear" w:color="auto" w:fill="auto"/>
          <w:lang w:val="en-US" w:eastAsia="zh-CN" w:bidi="ar-SA"/>
        </w:rPr>
        <w:t>二是保障“学有所教”。</w:t>
      </w:r>
      <w:r>
        <w:rPr>
          <w:rFonts w:hint="eastAsia" w:ascii="仿宋" w:hAnsi="仿宋" w:eastAsia="仿宋" w:cs="仿宋"/>
          <w:b w:val="0"/>
          <w:bCs w:val="0"/>
          <w:color w:val="auto"/>
          <w:kern w:val="2"/>
          <w:sz w:val="32"/>
          <w:szCs w:val="32"/>
          <w:highlight w:val="none"/>
          <w:u w:val="none"/>
          <w:shd w:val="clear" w:color="auto" w:fill="auto"/>
          <w:lang w:val="en-US" w:eastAsia="zh-CN" w:bidi="ar-SA"/>
        </w:rPr>
        <w:t>安排6.62亿元，用于学前</w:t>
      </w:r>
      <w:r>
        <w:rPr>
          <w:rFonts w:hint="eastAsia" w:ascii="仿宋" w:hAnsi="仿宋" w:eastAsia="仿宋" w:cs="仿宋"/>
          <w:b w:val="0"/>
          <w:bCs w:val="0"/>
          <w:color w:val="auto"/>
          <w:kern w:val="2"/>
          <w:sz w:val="32"/>
          <w:szCs w:val="32"/>
          <w:u w:val="none"/>
          <w:shd w:val="clear" w:color="auto" w:fill="auto"/>
          <w:lang w:val="en-US" w:eastAsia="zh-CN" w:bidi="ar-SA"/>
        </w:rPr>
        <w:t>教育、生均公用经费、义务教育补助、学校建设，2021年有4所小学投入使用和</w:t>
      </w:r>
      <w:r>
        <w:rPr>
          <w:rFonts w:hint="eastAsia" w:ascii="仿宋" w:hAnsi="仿宋" w:eastAsia="仿宋" w:cs="仿宋"/>
          <w:b w:val="0"/>
          <w:bCs w:val="0"/>
          <w:color w:val="000000" w:themeColor="text1"/>
          <w:kern w:val="2"/>
          <w:sz w:val="32"/>
          <w:szCs w:val="32"/>
          <w:u w:val="none"/>
          <w:shd w:val="clear" w:color="auto" w:fill="auto"/>
          <w:lang w:val="en-US" w:eastAsia="zh-CN" w:bidi="ar-SA"/>
          <w14:textFill>
            <w14:solidFill>
              <w14:schemeClr w14:val="tx1"/>
            </w14:solidFill>
          </w14:textFill>
        </w:rPr>
        <w:t>10所幼儿园开园，全面落实了“双减”任务。</w:t>
      </w:r>
      <w:r>
        <w:rPr>
          <w:rFonts w:hint="eastAsia" w:ascii="仿宋" w:hAnsi="仿宋" w:eastAsia="仿宋" w:cs="仿宋"/>
          <w:b/>
          <w:bCs/>
          <w:color w:val="000000" w:themeColor="text1"/>
          <w:kern w:val="2"/>
          <w:sz w:val="32"/>
          <w:szCs w:val="32"/>
          <w:u w:val="none"/>
          <w:shd w:val="clear" w:color="auto" w:fill="auto"/>
          <w:lang w:val="en-US" w:eastAsia="zh-CN" w:bidi="ar-SA"/>
          <w14:textFill>
            <w14:solidFill>
              <w14:schemeClr w14:val="tx1"/>
            </w14:solidFill>
          </w14:textFill>
        </w:rPr>
        <w:t>三是推动“居有所安”。</w:t>
      </w:r>
      <w:r>
        <w:rPr>
          <w:rFonts w:hint="eastAsia" w:ascii="仿宋" w:hAnsi="仿宋" w:eastAsia="仿宋" w:cs="仿宋"/>
          <w:b w:val="0"/>
          <w:bCs w:val="0"/>
          <w:color w:val="000000" w:themeColor="text1"/>
          <w:kern w:val="2"/>
          <w:sz w:val="32"/>
          <w:szCs w:val="32"/>
          <w:u w:val="none"/>
          <w:shd w:val="clear" w:color="auto" w:fill="auto"/>
          <w:lang w:val="en-US" w:eastAsia="zh-CN" w:bidi="ar-SA"/>
          <w14:textFill>
            <w14:solidFill>
              <w14:schemeClr w14:val="tx1"/>
            </w14:solidFill>
          </w14:textFill>
        </w:rPr>
        <w:t>筹集资金</w:t>
      </w:r>
      <w:r>
        <w:rPr>
          <w:rFonts w:hint="eastAsia" w:ascii="仿宋" w:hAnsi="仿宋" w:eastAsia="仿宋" w:cs="仿宋"/>
          <w:b w:val="0"/>
          <w:bCs w:val="0"/>
          <w:color w:val="000000" w:themeColor="text1"/>
          <w:kern w:val="2"/>
          <w:sz w:val="32"/>
          <w:szCs w:val="32"/>
          <w:highlight w:val="none"/>
          <w:u w:val="none"/>
          <w:shd w:val="clear" w:color="auto" w:fill="auto"/>
          <w:lang w:val="en-US" w:eastAsia="zh-CN" w:bidi="ar-SA"/>
          <w14:textFill>
            <w14:solidFill>
              <w14:schemeClr w14:val="tx1"/>
            </w14:solidFill>
          </w14:textFill>
        </w:rPr>
        <w:t>13.21</w:t>
      </w:r>
      <w:r>
        <w:rPr>
          <w:rFonts w:hint="eastAsia" w:ascii="仿宋" w:hAnsi="仿宋" w:eastAsia="仿宋" w:cs="仿宋"/>
          <w:b w:val="0"/>
          <w:bCs w:val="0"/>
          <w:color w:val="000000" w:themeColor="text1"/>
          <w:kern w:val="2"/>
          <w:sz w:val="32"/>
          <w:szCs w:val="32"/>
          <w:u w:val="none"/>
          <w:shd w:val="clear" w:color="auto" w:fill="auto"/>
          <w:lang w:val="en-US" w:eastAsia="zh-CN" w:bidi="ar-SA"/>
          <w14:textFill>
            <w14:solidFill>
              <w14:schemeClr w14:val="tx1"/>
            </w14:solidFill>
          </w14:textFill>
        </w:rPr>
        <w:t>亿元，用于城乡环境改善、智慧安防、平安小区建设、老旧小区改造、农贸市场改造、垃圾分类处理</w:t>
      </w:r>
      <w:r>
        <w:rPr>
          <w:rFonts w:hint="eastAsia" w:ascii="仿宋" w:hAnsi="仿宋" w:eastAsia="仿宋" w:cs="仿宋"/>
          <w:b w:val="0"/>
          <w:bCs w:val="0"/>
          <w:color w:val="000000" w:themeColor="text1"/>
          <w:kern w:val="2"/>
          <w:sz w:val="32"/>
          <w:szCs w:val="32"/>
          <w:highlight w:val="none"/>
          <w:u w:val="none"/>
          <w:shd w:val="clear" w:color="auto" w:fill="auto"/>
          <w:lang w:val="en-US" w:eastAsia="zh-CN" w:bidi="ar-SA"/>
          <w14:textFill>
            <w14:solidFill>
              <w14:schemeClr w14:val="tx1"/>
            </w14:solidFill>
          </w14:textFill>
        </w:rPr>
        <w:t>、“1+5+X”邻里中心等基础设施建设，改善人居环境</w:t>
      </w:r>
      <w:r>
        <w:rPr>
          <w:rFonts w:hint="eastAsia" w:ascii="仿宋" w:hAnsi="仿宋" w:eastAsia="仿宋" w:cs="仿宋"/>
          <w:b w:val="0"/>
          <w:bCs w:val="0"/>
          <w:color w:val="auto"/>
          <w:kern w:val="2"/>
          <w:sz w:val="32"/>
          <w:szCs w:val="32"/>
          <w:highlight w:val="none"/>
          <w:u w:val="none"/>
          <w:shd w:val="clear" w:color="auto" w:fill="auto"/>
          <w:lang w:val="en-US" w:eastAsia="zh-CN" w:bidi="ar-SA"/>
        </w:rPr>
        <w:t>，提升人民幸福指数。</w:t>
      </w:r>
      <w:r>
        <w:rPr>
          <w:rFonts w:hint="eastAsia" w:ascii="仿宋" w:hAnsi="仿宋" w:eastAsia="仿宋" w:cs="仿宋"/>
          <w:b/>
          <w:bCs/>
          <w:color w:val="auto"/>
          <w:kern w:val="2"/>
          <w:sz w:val="32"/>
          <w:szCs w:val="32"/>
          <w:highlight w:val="none"/>
          <w:u w:val="none"/>
          <w:shd w:val="clear" w:color="auto" w:fill="auto"/>
          <w:lang w:val="en-US" w:eastAsia="zh-CN" w:bidi="ar-SA"/>
        </w:rPr>
        <w:t>四是支持 “业有所保”。</w:t>
      </w:r>
      <w:r>
        <w:rPr>
          <w:rFonts w:hint="eastAsia" w:ascii="仿宋" w:hAnsi="仿宋" w:eastAsia="仿宋" w:cs="仿宋"/>
          <w:b w:val="0"/>
          <w:bCs w:val="0"/>
          <w:color w:val="auto"/>
          <w:kern w:val="2"/>
          <w:sz w:val="32"/>
          <w:szCs w:val="32"/>
          <w:highlight w:val="none"/>
          <w:u w:val="none"/>
          <w:shd w:val="clear" w:color="auto" w:fill="auto"/>
          <w:lang w:val="en-US" w:eastAsia="zh-CN" w:bidi="ar-SA"/>
        </w:rPr>
        <w:t>安排5.26亿元用于行政区划调整后各项工作正常运行，提升营商环境，扶持产业发展。</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43" w:firstLineChars="200"/>
        <w:jc w:val="both"/>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highlight w:val="none"/>
        </w:rPr>
        <w:t>4.</w:t>
      </w:r>
      <w:r>
        <w:rPr>
          <w:rFonts w:hint="eastAsia" w:ascii="楷体" w:hAnsi="楷体" w:eastAsia="楷体" w:cs="楷体"/>
          <w:b/>
          <w:i w:val="0"/>
          <w:caps w:val="0"/>
          <w:color w:val="auto"/>
          <w:spacing w:val="0"/>
          <w:sz w:val="32"/>
          <w:szCs w:val="32"/>
          <w:highlight w:val="none"/>
          <w:shd w:val="clear" w:color="auto" w:fill="FFFFFF"/>
        </w:rPr>
        <w:t>依法依规推改革，建设阳光财政</w:t>
      </w:r>
      <w:r>
        <w:rPr>
          <w:rFonts w:hint="eastAsia" w:ascii="楷体" w:hAnsi="楷体" w:eastAsia="楷体" w:cs="楷体"/>
          <w:b/>
          <w:bCs/>
          <w:color w:val="auto"/>
          <w:sz w:val="32"/>
          <w:szCs w:val="32"/>
          <w:highlight w:val="none"/>
        </w:rPr>
        <w:t>。</w:t>
      </w:r>
      <w:r>
        <w:rPr>
          <w:rFonts w:hint="eastAsia" w:ascii="仿宋" w:hAnsi="仿宋" w:eastAsia="仿宋" w:cs="仿宋"/>
          <w:b/>
          <w:color w:val="auto"/>
          <w:sz w:val="32"/>
          <w:szCs w:val="32"/>
          <w:highlight w:val="none"/>
        </w:rPr>
        <w:t>一是</w:t>
      </w:r>
      <w:r>
        <w:rPr>
          <w:rFonts w:hint="eastAsia" w:ascii="仿宋" w:hAnsi="仿宋" w:eastAsia="仿宋" w:cs="仿宋"/>
          <w:b/>
          <w:bCs/>
          <w:color w:val="auto"/>
          <w:spacing w:val="8"/>
          <w:sz w:val="32"/>
          <w:szCs w:val="32"/>
          <w:highlight w:val="none"/>
        </w:rPr>
        <w:t>全面做好</w:t>
      </w:r>
      <w:r>
        <w:rPr>
          <w:rFonts w:hint="eastAsia" w:ascii="仿宋" w:hAnsi="仿宋" w:eastAsia="仿宋" w:cs="仿宋"/>
          <w:b/>
          <w:bCs/>
          <w:color w:val="auto"/>
          <w:spacing w:val="8"/>
          <w:sz w:val="32"/>
          <w:szCs w:val="32"/>
          <w:highlight w:val="none"/>
          <w:lang w:val="en-US" w:eastAsia="zh-CN"/>
        </w:rPr>
        <w:t>新组建部门</w:t>
      </w:r>
      <w:r>
        <w:rPr>
          <w:rFonts w:hint="eastAsia" w:ascii="仿宋" w:hAnsi="仿宋" w:eastAsia="仿宋" w:cs="仿宋"/>
          <w:b/>
          <w:bCs/>
          <w:color w:val="auto"/>
          <w:spacing w:val="8"/>
          <w:sz w:val="32"/>
          <w:szCs w:val="32"/>
          <w:highlight w:val="none"/>
        </w:rPr>
        <w:t>经费保障。</w:t>
      </w:r>
      <w:r>
        <w:rPr>
          <w:rFonts w:hint="eastAsia" w:ascii="仿宋" w:hAnsi="仿宋" w:eastAsia="仿宋" w:cs="仿宋"/>
          <w:color w:val="auto"/>
          <w:spacing w:val="8"/>
          <w:sz w:val="32"/>
          <w:szCs w:val="32"/>
          <w:highlight w:val="none"/>
        </w:rPr>
        <w:t>协调做好新组建部门预算单位账户设立工作，及时</w:t>
      </w:r>
      <w:r>
        <w:rPr>
          <w:rFonts w:hint="eastAsia" w:ascii="仿宋" w:hAnsi="仿宋" w:eastAsia="仿宋" w:cs="仿宋"/>
          <w:color w:val="auto"/>
          <w:spacing w:val="8"/>
          <w:sz w:val="32"/>
          <w:szCs w:val="32"/>
          <w:highlight w:val="none"/>
          <w:lang w:val="en-US" w:eastAsia="zh-CN"/>
        </w:rPr>
        <w:t>调整和</w:t>
      </w:r>
      <w:r>
        <w:rPr>
          <w:rFonts w:hint="eastAsia" w:ascii="仿宋" w:hAnsi="仿宋" w:eastAsia="仿宋" w:cs="仿宋"/>
          <w:color w:val="auto"/>
          <w:spacing w:val="8"/>
          <w:sz w:val="32"/>
          <w:szCs w:val="32"/>
          <w:highlight w:val="none"/>
        </w:rPr>
        <w:t>审核涉及</w:t>
      </w:r>
      <w:r>
        <w:rPr>
          <w:rFonts w:hint="eastAsia" w:ascii="仿宋" w:hAnsi="仿宋" w:eastAsia="仿宋" w:cs="仿宋"/>
          <w:color w:val="auto"/>
          <w:spacing w:val="8"/>
          <w:sz w:val="32"/>
          <w:szCs w:val="32"/>
          <w:highlight w:val="none"/>
          <w:lang w:val="en-US" w:eastAsia="zh-CN"/>
        </w:rPr>
        <w:t>新组建部门</w:t>
      </w:r>
      <w:r>
        <w:rPr>
          <w:rFonts w:hint="eastAsia" w:ascii="仿宋" w:hAnsi="仿宋" w:eastAsia="仿宋" w:cs="仿宋"/>
          <w:color w:val="auto"/>
          <w:spacing w:val="8"/>
          <w:sz w:val="32"/>
          <w:szCs w:val="32"/>
          <w:highlight w:val="none"/>
        </w:rPr>
        <w:t>的</w:t>
      </w:r>
      <w:r>
        <w:rPr>
          <w:rFonts w:hint="eastAsia" w:ascii="仿宋" w:hAnsi="仿宋" w:eastAsia="仿宋" w:cs="仿宋"/>
          <w:color w:val="auto"/>
          <w:spacing w:val="8"/>
          <w:sz w:val="32"/>
          <w:szCs w:val="32"/>
          <w:highlight w:val="none"/>
          <w:lang w:val="en-US" w:eastAsia="zh-CN"/>
        </w:rPr>
        <w:t>预算指标和</w:t>
      </w:r>
      <w:r>
        <w:rPr>
          <w:rFonts w:hint="eastAsia" w:ascii="仿宋" w:hAnsi="仿宋" w:eastAsia="仿宋" w:cs="仿宋"/>
          <w:color w:val="auto"/>
          <w:spacing w:val="8"/>
          <w:sz w:val="32"/>
          <w:szCs w:val="32"/>
          <w:highlight w:val="none"/>
        </w:rPr>
        <w:t>用款计划，办理相关支付业务</w:t>
      </w:r>
      <w:r>
        <w:rPr>
          <w:rFonts w:hint="eastAsia" w:ascii="仿宋" w:hAnsi="仿宋" w:eastAsia="仿宋" w:cs="仿宋"/>
          <w:color w:val="auto"/>
          <w:spacing w:val="8"/>
          <w:sz w:val="32"/>
          <w:szCs w:val="32"/>
          <w:highlight w:val="none"/>
          <w:lang w:eastAsia="zh-CN"/>
        </w:rPr>
        <w:t>，</w:t>
      </w:r>
      <w:r>
        <w:rPr>
          <w:rFonts w:hint="eastAsia" w:ascii="仿宋" w:hAnsi="仿宋" w:eastAsia="仿宋" w:cs="仿宋"/>
          <w:color w:val="auto"/>
          <w:spacing w:val="8"/>
          <w:sz w:val="32"/>
          <w:szCs w:val="32"/>
          <w:highlight w:val="none"/>
          <w:lang w:val="en-US" w:eastAsia="zh-CN"/>
        </w:rPr>
        <w:t>确保2021年7月1日起各部门预算单位财务独立运行</w:t>
      </w:r>
      <w:r>
        <w:rPr>
          <w:rFonts w:hint="eastAsia" w:ascii="仿宋" w:hAnsi="仿宋" w:eastAsia="仿宋" w:cs="仿宋"/>
          <w:color w:val="auto"/>
          <w:spacing w:val="8"/>
          <w:sz w:val="32"/>
          <w:szCs w:val="32"/>
          <w:highlight w:val="none"/>
        </w:rPr>
        <w:t>。</w:t>
      </w:r>
      <w:r>
        <w:rPr>
          <w:rFonts w:hint="eastAsia" w:ascii="仿宋" w:hAnsi="仿宋" w:eastAsia="仿宋" w:cs="仿宋"/>
          <w:b/>
          <w:bCs/>
          <w:color w:val="auto"/>
          <w:sz w:val="32"/>
          <w:szCs w:val="32"/>
          <w:highlight w:val="none"/>
        </w:rPr>
        <w:t>二是深化“三公”经费监管机制。</w:t>
      </w:r>
      <w:r>
        <w:rPr>
          <w:rFonts w:hint="eastAsia" w:ascii="仿宋" w:hAnsi="仿宋" w:eastAsia="仿宋" w:cs="仿宋"/>
          <w:b w:val="0"/>
          <w:bCs w:val="0"/>
          <w:color w:val="auto"/>
          <w:sz w:val="32"/>
          <w:szCs w:val="32"/>
          <w:highlight w:val="none"/>
          <w:lang w:val="en-US" w:eastAsia="zh-CN"/>
        </w:rPr>
        <w:t>通过公务消费平台如实反映“三公经费”支出情况，</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由于区级机构在2021年组建，</w:t>
      </w:r>
      <w:r>
        <w:rPr>
          <w:rFonts w:hint="eastAsia" w:ascii="仿宋" w:hAnsi="仿宋" w:eastAsia="仿宋" w:cs="仿宋"/>
          <w:color w:val="auto"/>
          <w:spacing w:val="8"/>
          <w:sz w:val="32"/>
          <w:szCs w:val="32"/>
          <w:highlight w:val="none"/>
        </w:rPr>
        <w:t>2021年“三公”经费录公务消费平台475.69万元，比上年同期增加159.92万元，同比增长50.6</w:t>
      </w:r>
      <w:r>
        <w:rPr>
          <w:rFonts w:hint="eastAsia" w:ascii="仿宋" w:hAnsi="仿宋" w:eastAsia="仿宋" w:cs="仿宋"/>
          <w:color w:val="auto"/>
          <w:spacing w:val="8"/>
          <w:sz w:val="32"/>
          <w:szCs w:val="32"/>
          <w:highlight w:val="none"/>
          <w:lang w:val="en-US" w:eastAsia="zh-CN"/>
        </w:rPr>
        <w:t>4</w:t>
      </w:r>
      <w:r>
        <w:rPr>
          <w:rFonts w:hint="eastAsia" w:ascii="仿宋" w:hAnsi="仿宋" w:eastAsia="仿宋" w:cs="仿宋"/>
          <w:color w:val="auto"/>
          <w:spacing w:val="8"/>
          <w:sz w:val="32"/>
          <w:szCs w:val="32"/>
          <w:highlight w:val="none"/>
        </w:rPr>
        <w:t>%。</w:t>
      </w:r>
      <w:r>
        <w:rPr>
          <w:rFonts w:hint="eastAsia" w:ascii="仿宋" w:hAnsi="仿宋" w:eastAsia="仿宋" w:cs="仿宋"/>
          <w:b/>
          <w:bCs/>
          <w:color w:val="auto"/>
          <w:sz w:val="32"/>
          <w:szCs w:val="32"/>
          <w:highlight w:val="none"/>
        </w:rPr>
        <w:t>三是</w:t>
      </w:r>
      <w:r>
        <w:rPr>
          <w:rFonts w:hint="eastAsia" w:ascii="仿宋" w:hAnsi="仿宋" w:eastAsia="仿宋" w:cs="仿宋"/>
          <w:b/>
          <w:bCs/>
          <w:color w:val="auto"/>
          <w:sz w:val="32"/>
          <w:szCs w:val="32"/>
          <w:highlight w:val="none"/>
          <w:lang w:val="en-US" w:eastAsia="zh-CN"/>
        </w:rPr>
        <w:t>全面推进预算管理一体化系统上线运行</w:t>
      </w:r>
      <w:r>
        <w:rPr>
          <w:rFonts w:hint="eastAsia" w:ascii="仿宋" w:hAnsi="仿宋" w:eastAsia="仿宋" w:cs="仿宋"/>
          <w:b/>
          <w:bCs/>
          <w:color w:val="auto"/>
          <w:sz w:val="32"/>
          <w:szCs w:val="32"/>
          <w:highlight w:val="none"/>
        </w:rPr>
        <w:t>。</w:t>
      </w:r>
      <w:r>
        <w:rPr>
          <w:rFonts w:hint="eastAsia" w:ascii="仿宋" w:hAnsi="仿宋" w:eastAsia="仿宋" w:cs="仿宋"/>
          <w:color w:val="333333"/>
          <w:sz w:val="32"/>
          <w:szCs w:val="32"/>
          <w:highlight w:val="none"/>
          <w:shd w:val="clear" w:fill="FFFFFF"/>
        </w:rPr>
        <w:t>预算管理一体化</w:t>
      </w:r>
      <w:r>
        <w:rPr>
          <w:rFonts w:hint="eastAsia" w:ascii="仿宋" w:hAnsi="仿宋" w:eastAsia="仿宋" w:cs="仿宋"/>
          <w:color w:val="333333"/>
          <w:sz w:val="32"/>
          <w:szCs w:val="32"/>
          <w:highlight w:val="none"/>
          <w:shd w:val="clear" w:fill="FFFFFF"/>
          <w:lang w:val="en-US" w:eastAsia="zh-CN"/>
        </w:rPr>
        <w:t>系统</w:t>
      </w:r>
      <w:r>
        <w:rPr>
          <w:rFonts w:hint="eastAsia" w:ascii="仿宋" w:hAnsi="仿宋" w:eastAsia="仿宋" w:cs="仿宋"/>
          <w:b w:val="0"/>
          <w:bCs w:val="0"/>
          <w:color w:val="auto"/>
          <w:kern w:val="2"/>
          <w:sz w:val="32"/>
          <w:szCs w:val="32"/>
          <w:highlight w:val="none"/>
          <w:u w:val="none"/>
          <w:shd w:val="clear" w:color="auto" w:fill="auto"/>
          <w:lang w:val="en-US" w:eastAsia="zh-CN" w:bidi="ar-SA"/>
        </w:rPr>
        <w:t>贯穿预算编制、预算执行、绩效管理全过程，</w:t>
      </w:r>
      <w:r>
        <w:rPr>
          <w:rFonts w:hint="eastAsia" w:ascii="仿宋" w:hAnsi="仿宋" w:eastAsia="仿宋" w:cs="仿宋"/>
          <w:color w:val="333333"/>
          <w:sz w:val="32"/>
          <w:szCs w:val="32"/>
          <w:highlight w:val="none"/>
          <w:shd w:val="clear" w:fill="FFFFFF"/>
        </w:rPr>
        <w:t>将制度规范与信息系统建设紧密结合，用系统化思维全流程整合预算管理各环节业务规范，通过将规则嵌入系统强化制度执行力，为完善标准科学、规范透明、约束有力的预算制度提供基础保障</w:t>
      </w:r>
      <w:r>
        <w:rPr>
          <w:rFonts w:hint="eastAsia" w:ascii="仿宋" w:hAnsi="仿宋" w:eastAsia="仿宋" w:cs="仿宋"/>
          <w:b w:val="0"/>
          <w:bCs w:val="0"/>
          <w:color w:val="auto"/>
          <w:kern w:val="2"/>
          <w:sz w:val="32"/>
          <w:szCs w:val="32"/>
          <w:highlight w:val="none"/>
          <w:u w:val="none"/>
          <w:shd w:val="clear" w:color="auto" w:fill="auto"/>
          <w:lang w:val="en-US" w:eastAsia="zh-CN" w:bidi="ar-SA"/>
        </w:rPr>
        <w:t>。</w:t>
      </w:r>
      <w:r>
        <w:rPr>
          <w:rFonts w:hint="eastAsia" w:ascii="仿宋" w:hAnsi="仿宋" w:eastAsia="仿宋" w:cs="仿宋"/>
          <w:b/>
          <w:bCs/>
          <w:color w:val="auto"/>
          <w:kern w:val="2"/>
          <w:sz w:val="32"/>
          <w:szCs w:val="32"/>
          <w:highlight w:val="none"/>
          <w:u w:val="none"/>
          <w:shd w:val="clear" w:color="auto" w:fill="auto"/>
          <w:lang w:val="en-US" w:eastAsia="zh-CN" w:bidi="ar-SA"/>
        </w:rPr>
        <w:t>四是严管直达资金。</w:t>
      </w:r>
      <w:r>
        <w:rPr>
          <w:rFonts w:hint="eastAsia" w:ascii="仿宋" w:hAnsi="仿宋" w:eastAsia="仿宋" w:cs="仿宋"/>
          <w:b w:val="0"/>
          <w:bCs w:val="0"/>
          <w:color w:val="auto"/>
          <w:kern w:val="2"/>
          <w:sz w:val="32"/>
          <w:szCs w:val="32"/>
          <w:highlight w:val="none"/>
          <w:u w:val="none"/>
          <w:shd w:val="clear" w:color="auto" w:fill="auto"/>
          <w:lang w:val="en-US" w:eastAsia="zh-CN" w:bidi="ar-SA"/>
        </w:rPr>
        <w:t>对直达资金实行单独批复下达，依托监控系统建立直达资金台账，同时对接国库集中支付系统、指标系统，建立全覆盖、全链条直达资金监控，保障直达资金安全和有迹可查。2021年收到直达资金9331万元，已下达9331万元，下达率100%。</w:t>
      </w:r>
      <w:r>
        <w:rPr>
          <w:rFonts w:hint="eastAsia" w:ascii="仿宋" w:hAnsi="仿宋" w:eastAsia="仿宋" w:cs="仿宋"/>
          <w:b/>
          <w:bCs/>
          <w:color w:val="auto"/>
          <w:sz w:val="32"/>
          <w:szCs w:val="32"/>
          <w:highlight w:val="none"/>
          <w:lang w:val="en-US" w:eastAsia="zh-CN"/>
        </w:rPr>
        <w:t xml:space="preserve"> </w:t>
      </w:r>
      <w:r>
        <w:rPr>
          <w:rFonts w:hint="eastAsia" w:ascii="仿宋" w:hAnsi="仿宋" w:eastAsia="仿宋" w:cs="仿宋"/>
          <w:b/>
          <w:bCs/>
          <w:color w:val="auto"/>
          <w:kern w:val="2"/>
          <w:sz w:val="32"/>
          <w:szCs w:val="32"/>
          <w:highlight w:val="none"/>
          <w:u w:val="none"/>
          <w:shd w:val="clear" w:color="auto" w:fill="auto"/>
          <w:lang w:val="en-US" w:eastAsia="zh-CN" w:bidi="ar-SA"/>
        </w:rPr>
        <w:t>五是调整镇（街道、管理处）</w:t>
      </w:r>
      <w:r>
        <w:rPr>
          <w:rFonts w:hint="eastAsia" w:ascii="仿宋" w:hAnsi="仿宋" w:eastAsia="仿宋" w:cs="仿宋"/>
          <w:b/>
          <w:bCs/>
          <w:color w:val="auto"/>
          <w:kern w:val="2"/>
          <w:sz w:val="32"/>
          <w:szCs w:val="32"/>
          <w:u w:val="none"/>
          <w:shd w:val="clear" w:color="auto" w:fill="auto"/>
          <w:lang w:val="en-US" w:eastAsia="zh-CN" w:bidi="ar-SA"/>
        </w:rPr>
        <w:t>财政管理体制</w:t>
      </w:r>
      <w:r>
        <w:rPr>
          <w:rFonts w:hint="eastAsia" w:ascii="仿宋" w:hAnsi="仿宋" w:eastAsia="仿宋" w:cs="仿宋"/>
          <w:b w:val="0"/>
          <w:bCs w:val="0"/>
          <w:color w:val="auto"/>
          <w:kern w:val="2"/>
          <w:sz w:val="32"/>
          <w:szCs w:val="32"/>
          <w:u w:val="none"/>
          <w:shd w:val="clear" w:color="auto" w:fill="auto"/>
          <w:lang w:val="en-US" w:eastAsia="zh-CN" w:bidi="ar-SA"/>
        </w:rPr>
        <w:t>。调整方案已通过区政府常务会议审议，财政体制调整的目的是理顺区与镇（街道、管理处）财政分配关系，调动镇（街道、管理处）综合治税积极性。</w:t>
      </w:r>
      <w:r>
        <w:rPr>
          <w:rFonts w:hint="eastAsia" w:ascii="仿宋" w:hAnsi="仿宋" w:eastAsia="仿宋" w:cs="仿宋"/>
          <w:b/>
          <w:bCs/>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sz w:val="32"/>
          <w:szCs w:val="32"/>
          <w:lang w:val="en-US" w:eastAsia="zh-CN"/>
        </w:rPr>
      </w:pPr>
      <w:r>
        <w:rPr>
          <w:rFonts w:hint="eastAsia" w:ascii="楷体" w:hAnsi="楷体" w:eastAsia="楷体" w:cs="楷体"/>
          <w:b/>
          <w:color w:val="auto"/>
          <w:sz w:val="32"/>
          <w:szCs w:val="32"/>
        </w:rPr>
        <w:t>5.</w:t>
      </w:r>
      <w:r>
        <w:rPr>
          <w:rFonts w:hint="eastAsia" w:ascii="楷体" w:hAnsi="楷体" w:eastAsia="楷体" w:cs="楷体"/>
          <w:b/>
          <w:i w:val="0"/>
          <w:caps w:val="0"/>
          <w:color w:val="auto"/>
          <w:spacing w:val="0"/>
          <w:sz w:val="32"/>
          <w:szCs w:val="32"/>
          <w:shd w:val="clear" w:color="auto" w:fill="FFFFFF"/>
        </w:rPr>
        <w:t>聚焦资金强管理，防范财政风险</w:t>
      </w:r>
      <w:r>
        <w:rPr>
          <w:rFonts w:hint="eastAsia" w:ascii="楷体" w:hAnsi="楷体" w:eastAsia="楷体" w:cs="楷体"/>
          <w:b/>
          <w:color w:val="auto"/>
          <w:sz w:val="32"/>
          <w:szCs w:val="32"/>
        </w:rPr>
        <w:t>。</w:t>
      </w:r>
      <w:r>
        <w:rPr>
          <w:rFonts w:hint="eastAsia" w:ascii="仿宋" w:hAnsi="仿宋" w:eastAsia="仿宋" w:cs="仿宋"/>
          <w:b/>
          <w:bCs/>
          <w:color w:val="auto"/>
          <w:sz w:val="32"/>
          <w:szCs w:val="32"/>
        </w:rPr>
        <w:t>一是加强财政监督检查。</w:t>
      </w:r>
      <w:r>
        <w:rPr>
          <w:rFonts w:hint="eastAsia" w:ascii="仿宋" w:hAnsi="仿宋" w:eastAsia="仿宋" w:cs="仿宋"/>
          <w:color w:val="auto"/>
          <w:sz w:val="32"/>
          <w:szCs w:val="32"/>
        </w:rPr>
        <w:t>开展了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小金库</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专项治理、</w:t>
      </w:r>
      <w:r>
        <w:rPr>
          <w:rFonts w:hint="eastAsia" w:ascii="仿宋" w:hAnsi="仿宋" w:eastAsia="仿宋"/>
          <w:sz w:val="32"/>
          <w:szCs w:val="32"/>
        </w:rPr>
        <w:t>2</w:t>
      </w:r>
      <w:r>
        <w:rPr>
          <w:rFonts w:ascii="仿宋" w:hAnsi="仿宋" w:eastAsia="仿宋"/>
          <w:sz w:val="32"/>
          <w:szCs w:val="32"/>
        </w:rPr>
        <w:t>021</w:t>
      </w:r>
      <w:r>
        <w:rPr>
          <w:rFonts w:hint="eastAsia" w:ascii="仿宋" w:hAnsi="仿宋" w:eastAsia="仿宋"/>
          <w:sz w:val="32"/>
          <w:szCs w:val="32"/>
        </w:rPr>
        <w:t>年会计质量监督检查工作</w:t>
      </w:r>
      <w:r>
        <w:rPr>
          <w:rFonts w:hint="eastAsia" w:ascii="仿宋" w:hAnsi="仿宋" w:eastAsia="仿宋"/>
          <w:sz w:val="32"/>
          <w:szCs w:val="32"/>
          <w:lang w:eastAsia="zh-CN"/>
        </w:rPr>
        <w:t>、</w:t>
      </w:r>
      <w:r>
        <w:rPr>
          <w:rFonts w:hint="eastAsia" w:ascii="仿宋" w:hAnsi="仿宋" w:eastAsia="仿宋"/>
          <w:sz w:val="32"/>
          <w:szCs w:val="32"/>
        </w:rPr>
        <w:t>开展了2</w:t>
      </w:r>
      <w:r>
        <w:rPr>
          <w:rFonts w:ascii="仿宋" w:hAnsi="仿宋" w:eastAsia="仿宋"/>
          <w:sz w:val="32"/>
          <w:szCs w:val="32"/>
        </w:rPr>
        <w:t>020</w:t>
      </w:r>
      <w:r>
        <w:rPr>
          <w:rFonts w:hint="eastAsia" w:ascii="仿宋" w:hAnsi="仿宋" w:eastAsia="仿宋"/>
          <w:sz w:val="32"/>
          <w:szCs w:val="32"/>
        </w:rPr>
        <w:t>年项目支出绩效评价、2</w:t>
      </w:r>
      <w:r>
        <w:rPr>
          <w:rFonts w:ascii="仿宋" w:hAnsi="仿宋" w:eastAsia="仿宋"/>
          <w:sz w:val="32"/>
          <w:szCs w:val="32"/>
        </w:rPr>
        <w:t>020</w:t>
      </w:r>
      <w:r>
        <w:rPr>
          <w:rFonts w:hint="eastAsia" w:ascii="仿宋" w:hAnsi="仿宋" w:eastAsia="仿宋"/>
          <w:sz w:val="32"/>
          <w:szCs w:val="32"/>
        </w:rPr>
        <w:t>年部门整体支出绩效评价、2</w:t>
      </w:r>
      <w:r>
        <w:rPr>
          <w:rFonts w:ascii="仿宋" w:hAnsi="仿宋" w:eastAsia="仿宋"/>
          <w:sz w:val="32"/>
          <w:szCs w:val="32"/>
        </w:rPr>
        <w:t>021</w:t>
      </w:r>
      <w:r>
        <w:rPr>
          <w:rFonts w:hint="eastAsia" w:ascii="仿宋" w:hAnsi="仿宋" w:eastAsia="仿宋"/>
          <w:sz w:val="32"/>
          <w:szCs w:val="32"/>
        </w:rPr>
        <w:t>年绩效运行监控绩效评价</w:t>
      </w:r>
      <w:r>
        <w:rPr>
          <w:rFonts w:hint="eastAsia" w:ascii="仿宋" w:hAnsi="仿宋" w:eastAsia="仿宋" w:cs="仿宋"/>
          <w:color w:val="auto"/>
          <w:sz w:val="32"/>
          <w:szCs w:val="32"/>
        </w:rPr>
        <w:t>等检查</w:t>
      </w:r>
      <w:r>
        <w:rPr>
          <w:rFonts w:hint="eastAsia" w:ascii="仿宋" w:hAnsi="仿宋" w:eastAsia="仿宋" w:cs="仿宋"/>
          <w:color w:val="auto"/>
          <w:sz w:val="32"/>
          <w:szCs w:val="32"/>
          <w:lang w:val="en-US" w:eastAsia="zh-CN"/>
        </w:rPr>
        <w:t>工作</w:t>
      </w:r>
      <w:r>
        <w:rPr>
          <w:rFonts w:hint="eastAsia" w:ascii="仿宋" w:hAnsi="仿宋" w:eastAsia="仿宋" w:cs="仿宋"/>
          <w:color w:val="auto"/>
          <w:sz w:val="32"/>
          <w:szCs w:val="32"/>
        </w:rPr>
        <w:t>。</w:t>
      </w:r>
      <w:r>
        <w:rPr>
          <w:rFonts w:hint="eastAsia" w:ascii="仿宋" w:hAnsi="仿宋" w:eastAsia="仿宋" w:cs="仿宋"/>
          <w:b/>
          <w:bCs/>
          <w:color w:val="auto"/>
          <w:sz w:val="32"/>
          <w:szCs w:val="32"/>
        </w:rPr>
        <w:t>二是强化财政投资评审。</w:t>
      </w:r>
      <w:r>
        <w:rPr>
          <w:rFonts w:hint="eastAsia" w:ascii="仿宋" w:hAnsi="仿宋" w:eastAsia="仿宋" w:cs="仿宋"/>
          <w:sz w:val="32"/>
          <w:szCs w:val="32"/>
          <w:lang w:val="en-US" w:eastAsia="zh-CN"/>
        </w:rPr>
        <w:t>强化评审质量控制体系建设，防范投资评审风险。采取“二级审查，多道复核”制度，层层严把评审质量关。2021年，审核工程结算项目123个，核减成本2.82亿元，审核工程预算项目115个，政府采购项目149个，核减预算0.75亿元，有效地节省了财政资金。</w:t>
      </w:r>
      <w:r>
        <w:rPr>
          <w:rFonts w:hint="eastAsia" w:ascii="仿宋" w:hAnsi="仿宋" w:eastAsia="仿宋" w:cs="仿宋"/>
          <w:b/>
          <w:bCs/>
          <w:color w:val="auto"/>
          <w:sz w:val="32"/>
          <w:szCs w:val="32"/>
        </w:rPr>
        <w:t>三是加大政府采购监管。</w:t>
      </w:r>
      <w:r>
        <w:rPr>
          <w:rFonts w:hint="eastAsia" w:ascii="仿宋" w:hAnsi="仿宋" w:eastAsia="仿宋"/>
          <w:color w:val="212121"/>
          <w:sz w:val="32"/>
          <w:szCs w:val="32"/>
          <w:highlight w:val="none"/>
        </w:rPr>
        <w:t>开展政府采购备选库、名录库、资格库专项清理工作</w:t>
      </w:r>
      <w:r>
        <w:rPr>
          <w:rFonts w:hint="eastAsia" w:ascii="仿宋" w:hAnsi="仿宋" w:eastAsia="仿宋"/>
          <w:color w:val="212121"/>
          <w:sz w:val="32"/>
          <w:szCs w:val="32"/>
          <w:highlight w:val="none"/>
          <w:lang w:eastAsia="zh-CN"/>
        </w:rPr>
        <w:t>，</w:t>
      </w:r>
      <w:r>
        <w:rPr>
          <w:rFonts w:hint="eastAsia" w:ascii="仿宋" w:hAnsi="仿宋" w:eastAsia="仿宋"/>
          <w:sz w:val="32"/>
          <w:szCs w:val="32"/>
          <w:highlight w:val="none"/>
        </w:rPr>
        <w:t>清理政府采购中介机构违规收费</w:t>
      </w:r>
      <w:r>
        <w:rPr>
          <w:rFonts w:hint="eastAsia" w:ascii="仿宋" w:hAnsi="仿宋" w:eastAsia="仿宋"/>
          <w:sz w:val="32"/>
          <w:szCs w:val="32"/>
          <w:highlight w:val="none"/>
          <w:lang w:eastAsia="zh-CN"/>
        </w:rPr>
        <w:t>，</w:t>
      </w:r>
      <w:r>
        <w:rPr>
          <w:rFonts w:hint="eastAsia" w:ascii="仿宋" w:hAnsi="仿宋" w:eastAsia="仿宋"/>
          <w:color w:val="212121"/>
          <w:sz w:val="32"/>
          <w:szCs w:val="32"/>
          <w:highlight w:val="none"/>
        </w:rPr>
        <w:t>按照“</w:t>
      </w:r>
      <w:bookmarkStart w:id="0" w:name="_GoBack"/>
      <w:bookmarkEnd w:id="0"/>
      <w:r>
        <w:rPr>
          <w:rFonts w:hint="eastAsia" w:ascii="仿宋" w:hAnsi="仿宋" w:eastAsia="仿宋"/>
          <w:color w:val="212121"/>
          <w:sz w:val="32"/>
          <w:szCs w:val="32"/>
          <w:highlight w:val="none"/>
        </w:rPr>
        <w:t>双随机</w:t>
      </w:r>
      <w:r>
        <w:rPr>
          <w:rFonts w:hint="eastAsia" w:ascii="仿宋" w:hAnsi="仿宋" w:eastAsia="仿宋"/>
          <w:color w:val="212121"/>
          <w:sz w:val="32"/>
          <w:szCs w:val="32"/>
          <w:highlight w:val="none"/>
          <w:lang w:eastAsia="zh-CN"/>
        </w:rPr>
        <w:t>、</w:t>
      </w:r>
      <w:r>
        <w:rPr>
          <w:rFonts w:hint="eastAsia" w:ascii="仿宋" w:hAnsi="仿宋" w:eastAsia="仿宋"/>
          <w:color w:val="212121"/>
          <w:sz w:val="32"/>
          <w:szCs w:val="32"/>
          <w:highlight w:val="none"/>
        </w:rPr>
        <w:t>一公开”的原则，依法抽取了2020年度的7个政府采购项目进行监督检查，对5家政府采购代理机构和4家区级预算单位下达了整改通知书。</w:t>
      </w:r>
      <w:r>
        <w:rPr>
          <w:rFonts w:hint="eastAsia" w:ascii="仿宋" w:hAnsi="仿宋" w:eastAsia="仿宋" w:cs="宋体"/>
          <w:color w:val="000000"/>
          <w:kern w:val="0"/>
          <w:sz w:val="32"/>
          <w:szCs w:val="32"/>
          <w:highlight w:val="none"/>
        </w:rPr>
        <w:t>支持中小企业发展，为全区</w:t>
      </w:r>
      <w:r>
        <w:rPr>
          <w:rFonts w:ascii="仿宋" w:hAnsi="仿宋" w:eastAsia="仿宋" w:cs="宋体"/>
          <w:color w:val="000000"/>
          <w:kern w:val="0"/>
          <w:sz w:val="32"/>
          <w:szCs w:val="32"/>
          <w:highlight w:val="none"/>
        </w:rPr>
        <w:t>81</w:t>
      </w:r>
      <w:r>
        <w:rPr>
          <w:rFonts w:hint="eastAsia" w:ascii="仿宋" w:hAnsi="仿宋" w:eastAsia="仿宋" w:cs="宋体"/>
          <w:color w:val="000000"/>
          <w:kern w:val="0"/>
          <w:sz w:val="32"/>
          <w:szCs w:val="32"/>
          <w:highlight w:val="none"/>
        </w:rPr>
        <w:t>家预算单位开通了扶贫</w:t>
      </w:r>
      <w:r>
        <w:rPr>
          <w:rFonts w:hint="eastAsia" w:ascii="仿宋" w:hAnsi="仿宋" w:eastAsia="仿宋" w:cs="宋体"/>
          <w:color w:val="000000"/>
          <w:kern w:val="0"/>
          <w:sz w:val="32"/>
          <w:szCs w:val="32"/>
          <w:highlight w:val="none"/>
          <w:lang w:val="en-US" w:eastAsia="zh-CN"/>
        </w:rPr>
        <w:t>网购</w:t>
      </w:r>
      <w:r>
        <w:rPr>
          <w:rFonts w:hint="eastAsia" w:ascii="仿宋" w:hAnsi="仿宋" w:eastAsia="仿宋" w:cs="宋体"/>
          <w:color w:val="000000"/>
          <w:kern w:val="0"/>
          <w:sz w:val="32"/>
          <w:szCs w:val="32"/>
          <w:highlight w:val="none"/>
        </w:rPr>
        <w:t>平台采购人账号，方便各预算单位能在平台上采购中小企业的农副产品。</w:t>
      </w:r>
      <w:r>
        <w:rPr>
          <w:rFonts w:hint="eastAsia" w:ascii="仿宋" w:hAnsi="仿宋" w:eastAsia="仿宋" w:cs="仿宋"/>
          <w:sz w:val="32"/>
          <w:szCs w:val="32"/>
          <w:lang w:val="en-US" w:eastAsia="zh-CN"/>
        </w:rPr>
        <w:t>2021年</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highlight w:val="none"/>
          <w:lang w:val="en-US" w:eastAsia="zh-CN"/>
        </w:rPr>
        <w:t>全区政府采购规模为4.48亿元，累计节约资金0.18亿元，节支率3.86%</w:t>
      </w:r>
      <w:r>
        <w:rPr>
          <w:rFonts w:hint="eastAsia" w:ascii="仿宋" w:hAnsi="仿宋" w:eastAsia="仿宋" w:cs="仿宋"/>
          <w:color w:val="auto"/>
          <w:sz w:val="32"/>
          <w:szCs w:val="32"/>
          <w:highlight w:val="none"/>
        </w:rPr>
        <w:t>。</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是加大国有资产管理力度。</w:t>
      </w:r>
      <w:r>
        <w:rPr>
          <w:rFonts w:hint="eastAsia" w:ascii="仿宋" w:hAnsi="仿宋" w:eastAsia="仿宋"/>
          <w:sz w:val="32"/>
          <w:szCs w:val="32"/>
        </w:rPr>
        <w:t>贯彻落实减免承租国有房产租金政策</w:t>
      </w:r>
      <w:r>
        <w:rPr>
          <w:rFonts w:hint="eastAsia" w:ascii="仿宋" w:hAnsi="仿宋" w:eastAsia="仿宋"/>
          <w:sz w:val="32"/>
          <w:szCs w:val="32"/>
          <w:lang w:eastAsia="zh-CN"/>
        </w:rPr>
        <w:t>，</w:t>
      </w:r>
      <w:r>
        <w:rPr>
          <w:rFonts w:hint="eastAsia" w:ascii="仿宋" w:hAnsi="仿宋" w:eastAsia="仿宋"/>
          <w:sz w:val="32"/>
          <w:szCs w:val="32"/>
        </w:rPr>
        <w:t>督促区城投公司按要求共减免租金户数186户，减免总额352万元</w:t>
      </w:r>
      <w:r>
        <w:rPr>
          <w:rFonts w:hint="eastAsia" w:ascii="仿宋" w:hAnsi="仿宋" w:eastAsia="仿宋"/>
          <w:sz w:val="32"/>
          <w:szCs w:val="32"/>
          <w:lang w:eastAsia="zh-CN"/>
        </w:rPr>
        <w:t>；</w:t>
      </w:r>
      <w:r>
        <w:rPr>
          <w:rFonts w:hint="eastAsia" w:ascii="仿宋" w:hAnsi="仿宋" w:eastAsia="仿宋"/>
          <w:sz w:val="32"/>
          <w:szCs w:val="32"/>
          <w:lang w:val="en-US" w:eastAsia="zh-CN"/>
        </w:rPr>
        <w:t>制</w:t>
      </w:r>
      <w:r>
        <w:rPr>
          <w:rFonts w:hint="eastAsia" w:ascii="仿宋" w:hAnsi="仿宋" w:eastAsia="仿宋"/>
          <w:sz w:val="32"/>
          <w:szCs w:val="32"/>
        </w:rPr>
        <w:t>定《红谷滩区区级行政事业单位资产清查摸底工作方案》</w:t>
      </w:r>
      <w:r>
        <w:rPr>
          <w:rFonts w:hint="eastAsia" w:ascii="仿宋" w:hAnsi="仿宋" w:eastAsia="仿宋"/>
          <w:sz w:val="32"/>
          <w:szCs w:val="32"/>
          <w:lang w:eastAsia="zh-CN"/>
        </w:rPr>
        <w:t>，</w:t>
      </w:r>
      <w:r>
        <w:rPr>
          <w:rFonts w:hint="eastAsia" w:ascii="仿宋" w:hAnsi="仿宋" w:eastAsia="仿宋"/>
          <w:sz w:val="32"/>
          <w:szCs w:val="32"/>
        </w:rPr>
        <w:t>开展行政事业单位固定资产清查工作。</w:t>
      </w:r>
      <w:r>
        <w:rPr>
          <w:rFonts w:hint="eastAsia" w:ascii="仿宋" w:hAnsi="仿宋" w:eastAsia="仿宋" w:cs="仿宋"/>
          <w:b/>
          <w:bCs/>
          <w:sz w:val="32"/>
          <w:szCs w:val="32"/>
          <w:lang w:val="en-US" w:eastAsia="zh-CN"/>
        </w:rPr>
        <w:t>五是规范政府投资项目管理。</w:t>
      </w:r>
      <w:r>
        <w:rPr>
          <w:rFonts w:hint="eastAsia" w:ascii="仿宋" w:hAnsi="仿宋" w:eastAsia="仿宋" w:cs="仿宋"/>
          <w:sz w:val="32"/>
          <w:szCs w:val="32"/>
          <w:lang w:val="en-US" w:eastAsia="zh-CN"/>
        </w:rPr>
        <w:t>开展了政府投资项目优化工作。按照“财力可受、去繁从简、集约节约、控制造价、保持品质”原则和</w:t>
      </w:r>
      <w:r>
        <w:rPr>
          <w:rFonts w:hint="eastAsia" w:ascii="仿宋_GB2312" w:eastAsia="仿宋_GB2312"/>
          <w:sz w:val="32"/>
          <w:szCs w:val="32"/>
        </w:rPr>
        <w:t>“四优先、四严控”</w:t>
      </w:r>
      <w:r>
        <w:rPr>
          <w:rFonts w:hint="eastAsia" w:ascii="仿宋_GB2312" w:eastAsia="仿宋_GB2312"/>
          <w:sz w:val="32"/>
          <w:szCs w:val="32"/>
          <w:lang w:eastAsia="zh-CN"/>
        </w:rPr>
        <w:t>的要求</w:t>
      </w:r>
      <w:r>
        <w:rPr>
          <w:rFonts w:hint="eastAsia" w:ascii="仿宋" w:hAnsi="仿宋" w:eastAsia="仿宋" w:cs="仿宋"/>
          <w:sz w:val="32"/>
          <w:szCs w:val="32"/>
          <w:lang w:val="en-US" w:eastAsia="zh-CN"/>
        </w:rPr>
        <w:t>，对红谷滩区2021年区级重大重点项目进行了优化梳理，经优化，减少项目投资118.48亿元，同时，针对我区政府投资项目管理过程中暴露的问题，建立完善了相关制度，从事前、事中、事后各个环节规范政府投资管理，真正做到该做的事情一刻不能等、不该花的钱一分不能花</w:t>
      </w:r>
      <w:r>
        <w:rPr>
          <w:rFonts w:hint="eastAsia" w:ascii="仿宋_GB2312" w:hAnsi="仿宋_GB2312" w:eastAsia="仿宋_GB2312" w:cs="仿宋_GB2312"/>
          <w:color w:val="000000"/>
          <w:sz w:val="32"/>
          <w:szCs w:val="32"/>
          <w:lang w:val="en-US"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 w:hAnsi="楷体" w:eastAsia="楷体" w:cs="楷体"/>
          <w:b/>
          <w:bCs/>
          <w:color w:val="auto"/>
          <w:kern w:val="2"/>
          <w:sz w:val="32"/>
          <w:szCs w:val="32"/>
          <w:u w:val="none"/>
          <w:shd w:val="clear" w:color="auto" w:fill="auto"/>
          <w:lang w:val="en-US" w:eastAsia="zh-CN" w:bidi="ar-SA"/>
        </w:rPr>
      </w:pPr>
      <w:r>
        <w:rPr>
          <w:rFonts w:hint="eastAsia" w:ascii="楷体" w:hAnsi="楷体" w:eastAsia="楷体" w:cs="楷体"/>
          <w:b/>
          <w:bCs/>
          <w:color w:val="auto"/>
          <w:kern w:val="2"/>
          <w:sz w:val="32"/>
          <w:szCs w:val="32"/>
          <w:u w:val="none"/>
          <w:shd w:val="clear" w:color="auto" w:fill="auto"/>
          <w:lang w:val="en-US" w:eastAsia="zh-CN" w:bidi="ar-SA"/>
        </w:rPr>
        <w:t>（二）2021年全区财政运行具体情况：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仿宋" w:hAnsi="仿宋" w:eastAsia="仿宋" w:cs="仿宋"/>
          <w:b/>
          <w:bCs/>
          <w:color w:val="auto"/>
          <w:kern w:val="2"/>
          <w:sz w:val="32"/>
          <w:szCs w:val="32"/>
          <w:u w:val="none"/>
          <w:shd w:val="clear" w:color="auto" w:fill="auto"/>
          <w:lang w:val="en-US" w:eastAsia="zh-CN" w:bidi="ar-SA"/>
        </w:rPr>
      </w:pPr>
      <w:r>
        <w:rPr>
          <w:rFonts w:hint="eastAsia" w:ascii="仿宋" w:hAnsi="仿宋" w:eastAsia="仿宋" w:cs="仿宋"/>
          <w:b/>
          <w:bCs/>
          <w:color w:val="auto"/>
          <w:kern w:val="2"/>
          <w:sz w:val="32"/>
          <w:szCs w:val="32"/>
          <w:u w:val="none"/>
          <w:shd w:val="clear" w:color="auto" w:fill="auto"/>
          <w:lang w:val="en-US" w:eastAsia="zh-CN" w:bidi="ar-SA"/>
        </w:rPr>
        <w:t>1.一般公共预算收支</w:t>
      </w:r>
      <w:r>
        <w:rPr>
          <w:rFonts w:hint="eastAsia" w:ascii="仿宋" w:hAnsi="仿宋" w:eastAsia="仿宋" w:cs="仿宋"/>
          <w:b/>
          <w:bCs/>
          <w:color w:val="auto"/>
          <w:kern w:val="2"/>
          <w:sz w:val="32"/>
          <w:szCs w:val="32"/>
          <w:u w:val="none"/>
          <w:shd w:val="clear" w:color="auto" w:fill="auto"/>
          <w:lang w:val="en-US" w:eastAsia="zh-CN" w:bidi="ar-SA"/>
        </w:rPr>
        <w:br w:type="textWrapping"/>
      </w:r>
      <w:r>
        <w:rPr>
          <w:rFonts w:hint="eastAsia" w:ascii="仿宋" w:hAnsi="仿宋" w:eastAsia="仿宋" w:cs="仿宋"/>
          <w:b/>
          <w:bCs/>
          <w:color w:val="auto"/>
          <w:kern w:val="2"/>
          <w:sz w:val="32"/>
          <w:szCs w:val="32"/>
          <w:u w:val="none"/>
          <w:shd w:val="clear" w:color="auto" w:fill="auto"/>
          <w:lang w:val="en-US" w:eastAsia="zh-CN" w:bidi="ar-SA"/>
        </w:rPr>
        <w:t>   </w:t>
      </w:r>
      <w:r>
        <w:rPr>
          <w:rFonts w:hint="eastAsia" w:ascii="楷体" w:hAnsi="楷体" w:eastAsia="楷体" w:cs="楷体"/>
          <w:b/>
          <w:bCs/>
          <w:color w:val="auto"/>
          <w:kern w:val="2"/>
          <w:sz w:val="32"/>
          <w:szCs w:val="32"/>
          <w:u w:val="none"/>
          <w:shd w:val="clear" w:color="auto" w:fill="auto"/>
          <w:lang w:val="en-US" w:eastAsia="zh-CN" w:bidi="ar-SA"/>
        </w:rPr>
        <w:t xml:space="preserve"> （1）一般公共预算收入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 w:hAnsi="仿宋" w:eastAsia="仿宋" w:cs="仿宋"/>
          <w:b w:val="0"/>
          <w:bCs w:val="0"/>
          <w:color w:val="auto"/>
          <w:kern w:val="2"/>
          <w:sz w:val="32"/>
          <w:szCs w:val="32"/>
          <w:u w:val="none"/>
          <w:shd w:val="clear" w:color="auto" w:fill="auto"/>
          <w:lang w:val="en-US" w:eastAsia="zh-CN" w:bidi="ar-SA"/>
        </w:rPr>
      </w:pPr>
      <w:r>
        <w:rPr>
          <w:rFonts w:hint="eastAsia" w:ascii="仿宋" w:hAnsi="仿宋" w:eastAsia="仿宋" w:cs="仿宋"/>
          <w:b w:val="0"/>
          <w:bCs w:val="0"/>
          <w:color w:val="auto"/>
          <w:kern w:val="2"/>
          <w:sz w:val="32"/>
          <w:szCs w:val="32"/>
          <w:u w:val="none"/>
          <w:shd w:val="clear" w:color="auto" w:fill="auto"/>
          <w:lang w:val="en-US" w:eastAsia="zh-CN" w:bidi="ar-SA"/>
        </w:rPr>
        <w:t>2021年全区财政总收入完成104.87亿元，同比增长2.76% ；一般公共预算收入34.21亿元，同口径增长4.66%（同比下降3.01%），一般公共预算收入完成情况是：</w:t>
      </w:r>
      <w:r>
        <w:rPr>
          <w:rFonts w:hint="eastAsia" w:ascii="仿宋" w:hAnsi="仿宋" w:eastAsia="仿宋" w:cs="仿宋"/>
          <w:b w:val="0"/>
          <w:bCs w:val="0"/>
          <w:color w:val="auto"/>
          <w:kern w:val="2"/>
          <w:sz w:val="32"/>
          <w:szCs w:val="32"/>
          <w:u w:val="none"/>
          <w:shd w:val="clear" w:color="auto" w:fill="auto"/>
          <w:lang w:val="en-US" w:eastAsia="zh-CN" w:bidi="ar-SA"/>
        </w:rPr>
        <w:br w:type="textWrapping"/>
      </w:r>
      <w:r>
        <w:rPr>
          <w:rFonts w:hint="eastAsia" w:ascii="仿宋" w:hAnsi="仿宋" w:eastAsia="仿宋" w:cs="仿宋"/>
          <w:b w:val="0"/>
          <w:bCs w:val="0"/>
          <w:color w:val="auto"/>
          <w:kern w:val="2"/>
          <w:sz w:val="32"/>
          <w:szCs w:val="32"/>
          <w:u w:val="none"/>
          <w:shd w:val="clear" w:color="auto" w:fill="auto"/>
          <w:lang w:val="en-US" w:eastAsia="zh-CN" w:bidi="ar-SA"/>
        </w:rPr>
        <w:t>    税收收入完成25.94亿元，税占比为75.83%。其中：增值税完成49876万元；企业所得税完成57770万元；个人所得税完成12429万元；城市维护建设税完成10242万元；房产税完成14215万元；印花税完成5067万元；城镇土地使用税完成3385万元；土地增值税完成58317万元；车船税完成1270万元；耕地占用税完成990万元；契税完成45754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 w:hAnsi="仿宋" w:eastAsia="仿宋" w:cs="仿宋"/>
          <w:b w:val="0"/>
          <w:bCs w:val="0"/>
          <w:color w:val="auto"/>
          <w:kern w:val="2"/>
          <w:sz w:val="32"/>
          <w:szCs w:val="32"/>
          <w:u w:val="none"/>
          <w:shd w:val="clear" w:color="auto" w:fill="auto"/>
          <w:lang w:val="en-US" w:eastAsia="zh-CN" w:bidi="ar-SA"/>
        </w:rPr>
      </w:pPr>
      <w:r>
        <w:rPr>
          <w:rFonts w:hint="eastAsia" w:ascii="仿宋" w:hAnsi="仿宋" w:eastAsia="仿宋" w:cs="仿宋"/>
          <w:b w:val="0"/>
          <w:bCs w:val="0"/>
          <w:color w:val="auto"/>
          <w:kern w:val="2"/>
          <w:sz w:val="32"/>
          <w:szCs w:val="32"/>
          <w:u w:val="none"/>
          <w:shd w:val="clear" w:color="auto" w:fill="auto"/>
          <w:lang w:val="en-US" w:eastAsia="zh-CN" w:bidi="ar-SA"/>
        </w:rPr>
        <w:t>非税收入完成8.27亿元。</w:t>
      </w:r>
      <w:r>
        <w:rPr>
          <w:rFonts w:hint="eastAsia" w:ascii="仿宋" w:hAnsi="仿宋" w:eastAsia="仿宋" w:cs="仿宋"/>
          <w:b w:val="0"/>
          <w:bCs w:val="0"/>
          <w:color w:val="000000" w:themeColor="text1"/>
          <w:kern w:val="2"/>
          <w:sz w:val="32"/>
          <w:szCs w:val="32"/>
          <w:u w:val="none"/>
          <w:shd w:val="clear" w:color="auto" w:fill="auto"/>
          <w:lang w:val="en-US" w:eastAsia="zh-CN" w:bidi="ar-SA"/>
          <w14:textFill>
            <w14:solidFill>
              <w14:schemeClr w14:val="tx1"/>
            </w14:solidFill>
          </w14:textFill>
        </w:rPr>
        <w:t>非税占比为24.17%。</w:t>
      </w:r>
      <w:r>
        <w:rPr>
          <w:rFonts w:hint="eastAsia" w:ascii="仿宋" w:hAnsi="仿宋" w:eastAsia="仿宋" w:cs="仿宋"/>
          <w:b w:val="0"/>
          <w:bCs w:val="0"/>
          <w:color w:val="auto"/>
          <w:kern w:val="2"/>
          <w:sz w:val="32"/>
          <w:szCs w:val="32"/>
          <w:u w:val="none"/>
          <w:shd w:val="clear" w:color="auto" w:fill="auto"/>
          <w:lang w:val="en-US" w:eastAsia="zh-CN" w:bidi="ar-SA"/>
        </w:rPr>
        <w:t>其中：专项收入完成3980万元，行政事业性收费收入完成5883万元，罚没收入完成3515万元，国有资本经营收入完成7360万元，国有资产有偿使用及行政事业性收费收入完成61000万元，政府住房基金收入完成963万元。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 w:hAnsi="楷体" w:eastAsia="楷体" w:cs="楷体"/>
          <w:b/>
          <w:bCs/>
          <w:color w:val="auto"/>
          <w:kern w:val="2"/>
          <w:sz w:val="32"/>
          <w:szCs w:val="32"/>
          <w:u w:val="none"/>
          <w:shd w:val="clear" w:color="auto" w:fill="auto"/>
          <w:lang w:val="en-US" w:eastAsia="zh-CN" w:bidi="ar-SA"/>
        </w:rPr>
      </w:pPr>
      <w:r>
        <w:rPr>
          <w:rFonts w:hint="eastAsia" w:ascii="楷体" w:hAnsi="楷体" w:eastAsia="楷体" w:cs="楷体"/>
          <w:b/>
          <w:bCs/>
          <w:color w:val="auto"/>
          <w:kern w:val="2"/>
          <w:sz w:val="32"/>
          <w:szCs w:val="32"/>
          <w:u w:val="none"/>
          <w:shd w:val="clear" w:color="auto" w:fill="auto"/>
          <w:lang w:val="en-US" w:eastAsia="zh-CN" w:bidi="ar-SA"/>
        </w:rPr>
        <w:t>（2）一般公共预算支出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 w:hAnsi="仿宋" w:eastAsia="仿宋" w:cs="仿宋"/>
          <w:b w:val="0"/>
          <w:bCs w:val="0"/>
          <w:color w:val="auto"/>
          <w:kern w:val="2"/>
          <w:sz w:val="32"/>
          <w:szCs w:val="32"/>
          <w:u w:val="none"/>
          <w:shd w:val="clear" w:color="auto" w:fill="auto"/>
          <w:lang w:val="en-US" w:eastAsia="zh-CN" w:bidi="ar-SA"/>
        </w:rPr>
      </w:pPr>
      <w:r>
        <w:rPr>
          <w:rFonts w:hint="eastAsia" w:ascii="仿宋" w:hAnsi="仿宋" w:eastAsia="仿宋" w:cs="仿宋"/>
          <w:b w:val="0"/>
          <w:bCs w:val="0"/>
          <w:color w:val="auto"/>
          <w:kern w:val="2"/>
          <w:sz w:val="32"/>
          <w:szCs w:val="32"/>
          <w:u w:val="none"/>
          <w:shd w:val="clear" w:color="auto" w:fill="auto"/>
          <w:lang w:val="en-US" w:eastAsia="zh-CN" w:bidi="ar-SA"/>
        </w:rPr>
        <w:t>2021年全区一般公共预算支出完成35.62亿元，同比下降8.75%，主要支出项目情况是：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val="0"/>
          <w:color w:val="auto"/>
          <w:kern w:val="2"/>
          <w:sz w:val="32"/>
          <w:szCs w:val="32"/>
          <w:u w:val="none"/>
          <w:shd w:val="clear" w:color="auto" w:fill="auto"/>
          <w:lang w:val="en-US" w:eastAsia="zh-CN" w:bidi="ar-SA"/>
        </w:rPr>
      </w:pPr>
      <w:r>
        <w:rPr>
          <w:rFonts w:hint="eastAsia" w:ascii="仿宋" w:hAnsi="仿宋" w:eastAsia="仿宋" w:cs="仿宋"/>
          <w:b w:val="0"/>
          <w:bCs w:val="0"/>
          <w:color w:val="auto"/>
          <w:kern w:val="2"/>
          <w:sz w:val="32"/>
          <w:szCs w:val="32"/>
          <w:u w:val="none"/>
          <w:shd w:val="clear" w:color="auto" w:fill="auto"/>
          <w:lang w:val="en-US" w:eastAsia="zh-CN" w:bidi="ar-SA"/>
        </w:rPr>
        <w:t>一般公共服务支出47101万元，公共安全支出24105万元，教育支出66189万元，科学技术支出4523万元，文化旅游体育与传媒支出1088万元，社会保障和就业支出25847万元，卫生健康支出20414万元，节能环保支出9121万元，城乡社区事务支出99930万元,农林水事务支出3680万元,交通运输支出450万元，资源勘探工业信息等支出26905万元，商业服务业等支出4518万元，金融支出116万元，自然资源海洋气象等支出541万元，住房保障支出12696万元，灾害防治及应急管理支出3555万元，其他支出648万元，债务付息支出4709万元，债务发行费支出27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val="0"/>
          <w:color w:val="auto"/>
          <w:kern w:val="2"/>
          <w:sz w:val="32"/>
          <w:szCs w:val="32"/>
          <w:u w:val="none"/>
          <w:shd w:val="clear" w:color="auto" w:fill="auto"/>
          <w:lang w:val="en-US" w:eastAsia="zh-CN" w:bidi="ar-SA"/>
        </w:rPr>
      </w:pPr>
      <w:r>
        <w:rPr>
          <w:rFonts w:hint="eastAsia" w:ascii="仿宋" w:hAnsi="仿宋" w:eastAsia="仿宋" w:cs="仿宋"/>
          <w:b w:val="0"/>
          <w:bCs w:val="0"/>
          <w:color w:val="auto"/>
          <w:kern w:val="2"/>
          <w:sz w:val="32"/>
          <w:szCs w:val="32"/>
          <w:u w:val="none"/>
          <w:shd w:val="clear" w:color="auto" w:fill="auto"/>
          <w:lang w:val="en-US" w:eastAsia="zh-CN" w:bidi="ar-SA"/>
        </w:rPr>
        <w:t>教育支出、科学技术支出、农林水支出同比分别增长3.77%、39.86%、1.43%，以上三项支出增长均高于经常性财政收入增长。</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Chars="200" w:right="0" w:rightChars="0" w:firstLine="321" w:firstLineChars="100"/>
        <w:jc w:val="both"/>
        <w:textAlignment w:val="auto"/>
        <w:rPr>
          <w:rFonts w:hint="eastAsia" w:ascii="楷体" w:hAnsi="楷体" w:eastAsia="楷体" w:cs="楷体"/>
          <w:b/>
          <w:bCs/>
          <w:color w:val="auto"/>
          <w:kern w:val="2"/>
          <w:sz w:val="32"/>
          <w:szCs w:val="32"/>
          <w:u w:val="none"/>
          <w:shd w:val="clear" w:color="auto" w:fill="auto"/>
          <w:lang w:val="en-US" w:eastAsia="zh-CN" w:bidi="ar-SA"/>
        </w:rPr>
      </w:pPr>
      <w:r>
        <w:rPr>
          <w:rFonts w:hint="eastAsia" w:ascii="楷体" w:hAnsi="楷体" w:eastAsia="楷体" w:cs="楷体"/>
          <w:b/>
          <w:bCs/>
          <w:color w:val="auto"/>
          <w:kern w:val="2"/>
          <w:sz w:val="32"/>
          <w:szCs w:val="32"/>
          <w:u w:val="none"/>
          <w:shd w:val="clear" w:color="auto" w:fill="auto"/>
          <w:lang w:val="en-US" w:eastAsia="zh-CN" w:bidi="ar-SA"/>
        </w:rPr>
        <w:t>（3）一般公共预算平衡情况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color w:val="auto"/>
          <w:kern w:val="2"/>
          <w:sz w:val="32"/>
          <w:szCs w:val="32"/>
          <w:u w:val="none"/>
          <w:shd w:val="clear" w:color="auto" w:fill="auto"/>
          <w:lang w:val="en-US" w:eastAsia="zh-CN" w:bidi="ar-SA"/>
        </w:rPr>
      </w:pPr>
      <w:r>
        <w:rPr>
          <w:rFonts w:hint="eastAsia" w:ascii="仿宋" w:hAnsi="仿宋" w:eastAsia="仿宋" w:cs="仿宋"/>
          <w:b w:val="0"/>
          <w:bCs w:val="0"/>
          <w:color w:val="auto"/>
          <w:kern w:val="2"/>
          <w:sz w:val="32"/>
          <w:szCs w:val="32"/>
          <w:u w:val="none"/>
          <w:shd w:val="clear" w:color="auto" w:fill="auto"/>
          <w:lang w:val="en-US" w:eastAsia="zh-CN" w:bidi="ar-SA"/>
        </w:rPr>
        <w:t xml:space="preserve"> </w:t>
      </w:r>
      <w:r>
        <w:rPr>
          <w:rFonts w:hint="eastAsia" w:ascii="仿宋" w:hAnsi="仿宋" w:eastAsia="仿宋" w:cs="仿宋"/>
          <w:snapToGrid w:val="0"/>
          <w:color w:val="auto"/>
          <w:sz w:val="32"/>
          <w:szCs w:val="32"/>
          <w:highlight w:val="none"/>
        </w:rPr>
        <w:t>根据现行财政体制初步计算，20</w:t>
      </w:r>
      <w:r>
        <w:rPr>
          <w:rFonts w:hint="eastAsia" w:ascii="仿宋" w:hAnsi="仿宋" w:eastAsia="仿宋" w:cs="仿宋"/>
          <w:snapToGrid w:val="0"/>
          <w:color w:val="auto"/>
          <w:sz w:val="32"/>
          <w:szCs w:val="32"/>
          <w:highlight w:val="none"/>
          <w:lang w:val="en-US" w:eastAsia="zh-CN"/>
        </w:rPr>
        <w:t>21</w:t>
      </w:r>
      <w:r>
        <w:rPr>
          <w:rFonts w:hint="eastAsia" w:ascii="仿宋" w:hAnsi="仿宋" w:eastAsia="仿宋" w:cs="仿宋"/>
          <w:snapToGrid w:val="0"/>
          <w:color w:val="auto"/>
          <w:sz w:val="32"/>
          <w:szCs w:val="32"/>
          <w:highlight w:val="none"/>
        </w:rPr>
        <w:t>年全区</w:t>
      </w:r>
      <w:r>
        <w:rPr>
          <w:rFonts w:hint="eastAsia" w:ascii="仿宋" w:hAnsi="仿宋" w:eastAsia="仿宋" w:cs="仿宋"/>
          <w:color w:val="auto"/>
          <w:sz w:val="32"/>
          <w:szCs w:val="32"/>
          <w:highlight w:val="none"/>
          <w:lang w:eastAsia="zh-CN"/>
        </w:rPr>
        <w:t>地方一般公共预算收入</w:t>
      </w:r>
      <w:r>
        <w:rPr>
          <w:rFonts w:hint="eastAsia" w:ascii="仿宋" w:hAnsi="仿宋" w:eastAsia="仿宋" w:cs="仿宋"/>
          <w:color w:val="auto"/>
          <w:sz w:val="32"/>
          <w:szCs w:val="32"/>
          <w:highlight w:val="none"/>
          <w:lang w:val="en-US" w:eastAsia="zh-CN"/>
        </w:rPr>
        <w:t>34.21亿</w:t>
      </w:r>
      <w:r>
        <w:rPr>
          <w:rFonts w:hint="eastAsia" w:ascii="仿宋" w:hAnsi="仿宋" w:eastAsia="仿宋" w:cs="仿宋"/>
          <w:color w:val="auto"/>
          <w:sz w:val="32"/>
          <w:szCs w:val="32"/>
          <w:highlight w:val="none"/>
        </w:rPr>
        <w:t>元，加上上级补助收入</w:t>
      </w:r>
      <w:r>
        <w:rPr>
          <w:rFonts w:hint="eastAsia" w:ascii="仿宋" w:hAnsi="仿宋" w:eastAsia="仿宋" w:cs="仿宋"/>
          <w:color w:val="auto"/>
          <w:sz w:val="32"/>
          <w:szCs w:val="32"/>
          <w:highlight w:val="none"/>
          <w:lang w:val="en-US" w:eastAsia="zh-CN"/>
        </w:rPr>
        <w:t>17.8亿</w:t>
      </w:r>
      <w:r>
        <w:rPr>
          <w:rFonts w:hint="eastAsia" w:ascii="仿宋" w:hAnsi="仿宋" w:eastAsia="仿宋" w:cs="仿宋"/>
          <w:color w:val="auto"/>
          <w:sz w:val="32"/>
          <w:szCs w:val="32"/>
          <w:highlight w:val="none"/>
        </w:rPr>
        <w:t>元，地方政府一般债务转贷收入</w:t>
      </w:r>
      <w:r>
        <w:rPr>
          <w:rFonts w:hint="eastAsia" w:ascii="仿宋" w:hAnsi="仿宋" w:eastAsia="仿宋" w:cs="仿宋"/>
          <w:color w:val="auto"/>
          <w:sz w:val="32"/>
          <w:szCs w:val="32"/>
          <w:highlight w:val="none"/>
          <w:lang w:val="en-US" w:eastAsia="zh-CN"/>
        </w:rPr>
        <w:t>2.</w:t>
      </w:r>
      <w:r>
        <w:rPr>
          <w:rFonts w:hint="eastAsia" w:ascii="仿宋" w:hAnsi="仿宋" w:eastAsia="仿宋" w:cs="仿宋"/>
          <w:b w:val="0"/>
          <w:bCs w:val="0"/>
          <w:color w:val="auto"/>
          <w:sz w:val="32"/>
          <w:szCs w:val="32"/>
          <w:highlight w:val="none"/>
          <w:lang w:val="en-US" w:eastAsia="zh-CN"/>
        </w:rPr>
        <w:t>76</w:t>
      </w:r>
      <w:r>
        <w:rPr>
          <w:rFonts w:hint="eastAsia" w:ascii="仿宋" w:hAnsi="仿宋" w:eastAsia="仿宋" w:cs="仿宋"/>
          <w:color w:val="auto"/>
          <w:sz w:val="32"/>
          <w:szCs w:val="32"/>
          <w:highlight w:val="none"/>
          <w:lang w:val="en-US" w:eastAsia="zh-CN"/>
        </w:rPr>
        <w:t>亿</w:t>
      </w:r>
      <w:r>
        <w:rPr>
          <w:rFonts w:hint="eastAsia" w:ascii="仿宋" w:hAnsi="仿宋" w:eastAsia="仿宋" w:cs="仿宋"/>
          <w:b w:val="0"/>
          <w:bCs w:val="0"/>
          <w:color w:val="auto"/>
          <w:sz w:val="32"/>
          <w:szCs w:val="32"/>
          <w:highlight w:val="none"/>
        </w:rPr>
        <w:t>元，</w:t>
      </w:r>
      <w:r>
        <w:rPr>
          <w:rFonts w:hint="eastAsia" w:ascii="仿宋" w:hAnsi="仿宋" w:eastAsia="仿宋" w:cs="仿宋"/>
          <w:b w:val="0"/>
          <w:bCs w:val="0"/>
          <w:color w:val="000000" w:themeColor="text1"/>
          <w:kern w:val="2"/>
          <w:sz w:val="32"/>
          <w:szCs w:val="32"/>
          <w:u w:val="none"/>
          <w:shd w:val="clear" w:color="auto" w:fill="auto"/>
          <w:lang w:val="en-US" w:eastAsia="zh-CN" w:bidi="ar-SA"/>
          <w14:textFill>
            <w14:solidFill>
              <w14:schemeClr w14:val="tx1"/>
            </w14:solidFill>
          </w14:textFill>
        </w:rPr>
        <w:t>调入资金47.6亿元，</w:t>
      </w:r>
      <w:r>
        <w:rPr>
          <w:rFonts w:hint="eastAsia" w:ascii="仿宋" w:hAnsi="仿宋" w:eastAsia="仿宋" w:cs="仿宋"/>
          <w:b w:val="0"/>
          <w:bCs w:val="0"/>
          <w:color w:val="auto"/>
          <w:sz w:val="32"/>
          <w:szCs w:val="32"/>
          <w:highlight w:val="none"/>
        </w:rPr>
        <w:t>上年结余</w:t>
      </w:r>
      <w:r>
        <w:rPr>
          <w:rFonts w:hint="eastAsia" w:ascii="仿宋" w:hAnsi="仿宋" w:eastAsia="仿宋" w:cs="仿宋"/>
          <w:b w:val="0"/>
          <w:bCs w:val="0"/>
          <w:color w:val="auto"/>
          <w:sz w:val="32"/>
          <w:szCs w:val="32"/>
          <w:highlight w:val="none"/>
          <w:lang w:val="en-US" w:eastAsia="zh-CN"/>
        </w:rPr>
        <w:t>0.43</w:t>
      </w:r>
      <w:r>
        <w:rPr>
          <w:rFonts w:hint="eastAsia" w:ascii="仿宋" w:hAnsi="仿宋" w:eastAsia="仿宋" w:cs="仿宋"/>
          <w:color w:val="auto"/>
          <w:sz w:val="32"/>
          <w:szCs w:val="32"/>
          <w:highlight w:val="none"/>
          <w:lang w:val="en-US" w:eastAsia="zh-CN"/>
        </w:rPr>
        <w:t>亿</w:t>
      </w:r>
      <w:r>
        <w:rPr>
          <w:rFonts w:hint="eastAsia" w:ascii="仿宋" w:hAnsi="仿宋" w:eastAsia="仿宋" w:cs="仿宋"/>
          <w:b w:val="0"/>
          <w:bCs w:val="0"/>
          <w:color w:val="auto"/>
          <w:sz w:val="32"/>
          <w:szCs w:val="32"/>
          <w:highlight w:val="none"/>
        </w:rPr>
        <w:t>元，</w:t>
      </w:r>
      <w:r>
        <w:rPr>
          <w:rFonts w:hint="eastAsia" w:ascii="仿宋" w:hAnsi="仿宋" w:eastAsia="仿宋" w:cs="仿宋"/>
          <w:b w:val="0"/>
          <w:bCs w:val="0"/>
          <w:color w:val="000000" w:themeColor="text1"/>
          <w:sz w:val="32"/>
          <w:szCs w:val="32"/>
          <w:highlight w:val="none"/>
          <w14:textFill>
            <w14:solidFill>
              <w14:schemeClr w14:val="tx1"/>
            </w14:solidFill>
          </w14:textFill>
        </w:rPr>
        <w:t>收入总计</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102.8</w:t>
      </w:r>
      <w:r>
        <w:rPr>
          <w:rFonts w:hint="eastAsia" w:ascii="仿宋" w:hAnsi="仿宋" w:eastAsia="仿宋" w:cs="仿宋"/>
          <w:color w:val="000000" w:themeColor="text1"/>
          <w:sz w:val="32"/>
          <w:szCs w:val="32"/>
          <w:highlight w:val="none"/>
          <w:lang w:val="en-US" w:eastAsia="zh-CN"/>
          <w14:textFill>
            <w14:solidFill>
              <w14:schemeClr w14:val="tx1"/>
            </w14:solidFill>
          </w14:textFill>
        </w:rPr>
        <w:t>亿</w:t>
      </w:r>
      <w:r>
        <w:rPr>
          <w:rFonts w:hint="eastAsia" w:ascii="仿宋" w:hAnsi="仿宋" w:eastAsia="仿宋" w:cs="仿宋"/>
          <w:b w:val="0"/>
          <w:bCs w:val="0"/>
          <w:color w:val="000000" w:themeColor="text1"/>
          <w:sz w:val="32"/>
          <w:szCs w:val="32"/>
          <w:highlight w:val="none"/>
          <w14:textFill>
            <w14:solidFill>
              <w14:schemeClr w14:val="tx1"/>
            </w14:solidFill>
          </w14:textFill>
        </w:rPr>
        <w:t>元</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w:t>
      </w:r>
      <w:r>
        <w:rPr>
          <w:rFonts w:hint="eastAsia" w:ascii="仿宋" w:hAnsi="仿宋" w:eastAsia="仿宋" w:cs="仿宋"/>
          <w:b w:val="0"/>
          <w:bCs w:val="0"/>
          <w:color w:val="auto"/>
          <w:sz w:val="32"/>
          <w:szCs w:val="32"/>
          <w:highlight w:val="none"/>
          <w:lang w:eastAsia="zh-CN"/>
        </w:rPr>
        <w:t>地方一般公共预算支出</w:t>
      </w:r>
      <w:r>
        <w:rPr>
          <w:rFonts w:hint="eastAsia" w:ascii="仿宋" w:hAnsi="仿宋" w:eastAsia="仿宋" w:cs="仿宋"/>
          <w:b w:val="0"/>
          <w:bCs w:val="0"/>
          <w:color w:val="auto"/>
          <w:sz w:val="32"/>
          <w:szCs w:val="32"/>
          <w:highlight w:val="none"/>
          <w:lang w:val="en-US" w:eastAsia="zh-CN"/>
        </w:rPr>
        <w:t>35.62亿</w:t>
      </w:r>
      <w:r>
        <w:rPr>
          <w:rFonts w:hint="eastAsia" w:ascii="仿宋" w:hAnsi="仿宋" w:eastAsia="仿宋" w:cs="仿宋"/>
          <w:b w:val="0"/>
          <w:bCs w:val="0"/>
          <w:color w:val="auto"/>
          <w:sz w:val="32"/>
          <w:szCs w:val="32"/>
          <w:highlight w:val="none"/>
        </w:rPr>
        <w:t>元，</w:t>
      </w:r>
      <w:r>
        <w:rPr>
          <w:rFonts w:hint="eastAsia" w:ascii="仿宋" w:hAnsi="仿宋" w:eastAsia="仿宋" w:cs="仿宋"/>
          <w:color w:val="auto"/>
          <w:sz w:val="32"/>
          <w:szCs w:val="32"/>
          <w:highlight w:val="none"/>
        </w:rPr>
        <w:t>加上</w:t>
      </w:r>
      <w:r>
        <w:rPr>
          <w:rFonts w:hint="eastAsia" w:ascii="仿宋" w:hAnsi="仿宋" w:eastAsia="仿宋" w:cs="仿宋"/>
          <w:b w:val="0"/>
          <w:bCs w:val="0"/>
          <w:color w:val="auto"/>
          <w:sz w:val="32"/>
          <w:szCs w:val="32"/>
          <w:highlight w:val="none"/>
        </w:rPr>
        <w:t>上解上级支出</w:t>
      </w:r>
      <w:r>
        <w:rPr>
          <w:rFonts w:hint="eastAsia" w:ascii="仿宋" w:hAnsi="仿宋" w:eastAsia="仿宋" w:cs="仿宋"/>
          <w:b w:val="0"/>
          <w:bCs w:val="0"/>
          <w:color w:val="auto"/>
          <w:sz w:val="32"/>
          <w:szCs w:val="32"/>
          <w:highlight w:val="none"/>
          <w:lang w:val="en-US" w:eastAsia="zh-CN"/>
        </w:rPr>
        <w:t>4.74</w:t>
      </w:r>
      <w:r>
        <w:rPr>
          <w:rFonts w:hint="eastAsia" w:ascii="仿宋" w:hAnsi="仿宋" w:eastAsia="仿宋" w:cs="仿宋"/>
          <w:color w:val="auto"/>
          <w:sz w:val="32"/>
          <w:szCs w:val="32"/>
          <w:highlight w:val="none"/>
          <w:lang w:val="en-US" w:eastAsia="zh-CN"/>
        </w:rPr>
        <w:t>亿</w:t>
      </w:r>
      <w:r>
        <w:rPr>
          <w:rFonts w:hint="eastAsia" w:ascii="仿宋" w:hAnsi="仿宋" w:eastAsia="仿宋" w:cs="仿宋"/>
          <w:b w:val="0"/>
          <w:bCs w:val="0"/>
          <w:color w:val="auto"/>
          <w:sz w:val="32"/>
          <w:szCs w:val="32"/>
          <w:highlight w:val="none"/>
        </w:rPr>
        <w:t>元，</w:t>
      </w:r>
      <w:r>
        <w:rPr>
          <w:rFonts w:hint="eastAsia" w:ascii="仿宋" w:hAnsi="仿宋" w:eastAsia="仿宋" w:cs="仿宋"/>
          <w:color w:val="auto"/>
          <w:sz w:val="32"/>
          <w:szCs w:val="32"/>
          <w:highlight w:val="none"/>
        </w:rPr>
        <w:t>地方政府</w:t>
      </w:r>
      <w:r>
        <w:rPr>
          <w:rFonts w:hint="eastAsia" w:ascii="仿宋" w:hAnsi="仿宋" w:eastAsia="仿宋" w:cs="仿宋"/>
          <w:color w:val="auto"/>
          <w:sz w:val="32"/>
          <w:szCs w:val="32"/>
          <w:highlight w:val="none"/>
          <w:lang w:eastAsia="zh-CN"/>
        </w:rPr>
        <w:t>一般</w:t>
      </w:r>
      <w:r>
        <w:rPr>
          <w:rFonts w:hint="eastAsia" w:ascii="仿宋" w:hAnsi="仿宋" w:eastAsia="仿宋" w:cs="仿宋"/>
          <w:b w:val="0"/>
          <w:bCs w:val="0"/>
          <w:color w:val="auto"/>
          <w:sz w:val="32"/>
          <w:szCs w:val="32"/>
          <w:highlight w:val="none"/>
          <w:lang w:eastAsia="zh-CN"/>
        </w:rPr>
        <w:t>债务还本支出</w:t>
      </w:r>
      <w:r>
        <w:rPr>
          <w:rFonts w:hint="eastAsia" w:ascii="仿宋" w:hAnsi="仿宋" w:eastAsia="仿宋" w:cs="仿宋"/>
          <w:b w:val="0"/>
          <w:bCs w:val="0"/>
          <w:color w:val="auto"/>
          <w:sz w:val="32"/>
          <w:szCs w:val="32"/>
          <w:highlight w:val="none"/>
          <w:lang w:val="en-US" w:eastAsia="zh-CN"/>
        </w:rPr>
        <w:t>0.58</w:t>
      </w:r>
      <w:r>
        <w:rPr>
          <w:rFonts w:hint="eastAsia" w:ascii="仿宋" w:hAnsi="仿宋" w:eastAsia="仿宋" w:cs="仿宋"/>
          <w:color w:val="auto"/>
          <w:sz w:val="32"/>
          <w:szCs w:val="32"/>
          <w:highlight w:val="none"/>
          <w:lang w:val="en-US" w:eastAsia="zh-CN"/>
        </w:rPr>
        <w:t>亿</w:t>
      </w:r>
      <w:r>
        <w:rPr>
          <w:rFonts w:hint="eastAsia" w:ascii="仿宋" w:hAnsi="仿宋" w:eastAsia="仿宋" w:cs="仿宋"/>
          <w:b w:val="0"/>
          <w:bCs w:val="0"/>
          <w:color w:val="auto"/>
          <w:sz w:val="32"/>
          <w:szCs w:val="32"/>
          <w:highlight w:val="none"/>
          <w:lang w:val="en-US" w:eastAsia="zh-CN"/>
        </w:rPr>
        <w:t>元，</w:t>
      </w:r>
      <w:r>
        <w:rPr>
          <w:rFonts w:hint="eastAsia" w:ascii="仿宋" w:hAnsi="仿宋" w:eastAsia="仿宋" w:cs="仿宋"/>
          <w:b w:val="0"/>
          <w:bCs w:val="0"/>
          <w:color w:val="000000" w:themeColor="text1"/>
          <w:kern w:val="2"/>
          <w:sz w:val="32"/>
          <w:szCs w:val="32"/>
          <w:u w:val="none"/>
          <w:shd w:val="clear" w:color="auto" w:fill="auto"/>
          <w:lang w:val="en-US" w:eastAsia="zh-CN" w:bidi="ar-SA"/>
          <w14:textFill>
            <w14:solidFill>
              <w14:schemeClr w14:val="tx1"/>
            </w14:solidFill>
          </w14:textFill>
        </w:rPr>
        <w:t>补充预算稳定调节基金61.5亿元，</w:t>
      </w:r>
      <w:r>
        <w:rPr>
          <w:rFonts w:hint="eastAsia" w:ascii="仿宋" w:hAnsi="仿宋" w:eastAsia="仿宋" w:cs="仿宋"/>
          <w:b w:val="0"/>
          <w:bCs w:val="0"/>
          <w:color w:val="auto"/>
          <w:sz w:val="32"/>
          <w:szCs w:val="32"/>
          <w:highlight w:val="none"/>
        </w:rPr>
        <w:t>支出总计</w:t>
      </w:r>
      <w:r>
        <w:rPr>
          <w:rFonts w:hint="eastAsia" w:ascii="仿宋" w:hAnsi="仿宋" w:eastAsia="仿宋" w:cs="仿宋"/>
          <w:b w:val="0"/>
          <w:bCs w:val="0"/>
          <w:color w:val="auto"/>
          <w:sz w:val="32"/>
          <w:szCs w:val="32"/>
          <w:highlight w:val="none"/>
          <w:lang w:val="en-US" w:eastAsia="zh-CN"/>
        </w:rPr>
        <w:t>102.44亿</w:t>
      </w:r>
      <w:r>
        <w:rPr>
          <w:rFonts w:hint="eastAsia" w:ascii="仿宋" w:hAnsi="仿宋" w:eastAsia="仿宋" w:cs="仿宋"/>
          <w:b w:val="0"/>
          <w:bCs w:val="0"/>
          <w:color w:val="auto"/>
          <w:sz w:val="32"/>
          <w:szCs w:val="32"/>
          <w:highlight w:val="none"/>
        </w:rPr>
        <w:t>元</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收支相抵，年终结余</w:t>
      </w:r>
      <w:r>
        <w:rPr>
          <w:rFonts w:hint="eastAsia" w:ascii="仿宋" w:hAnsi="仿宋" w:eastAsia="仿宋" w:cs="仿宋"/>
          <w:b w:val="0"/>
          <w:bCs w:val="0"/>
          <w:color w:val="auto"/>
          <w:sz w:val="32"/>
          <w:szCs w:val="32"/>
          <w:highlight w:val="none"/>
          <w:lang w:val="en-US" w:eastAsia="zh-CN"/>
        </w:rPr>
        <w:t>0.36</w:t>
      </w:r>
      <w:r>
        <w:rPr>
          <w:rFonts w:hint="eastAsia" w:ascii="仿宋" w:hAnsi="仿宋" w:eastAsia="仿宋" w:cs="仿宋"/>
          <w:color w:val="auto"/>
          <w:sz w:val="32"/>
          <w:szCs w:val="32"/>
          <w:highlight w:val="none"/>
          <w:lang w:val="en-US" w:eastAsia="zh-CN"/>
        </w:rPr>
        <w:t>亿</w:t>
      </w:r>
      <w:r>
        <w:rPr>
          <w:rFonts w:hint="eastAsia" w:ascii="仿宋" w:hAnsi="仿宋" w:eastAsia="仿宋" w:cs="仿宋"/>
          <w:b w:val="0"/>
          <w:bCs w:val="0"/>
          <w:color w:val="auto"/>
          <w:sz w:val="32"/>
          <w:szCs w:val="32"/>
          <w:highlight w:val="none"/>
        </w:rPr>
        <w:t>元</w:t>
      </w:r>
      <w:r>
        <w:rPr>
          <w:rFonts w:hint="eastAsia" w:ascii="仿宋" w:hAnsi="仿宋" w:eastAsia="仿宋" w:cs="仿宋"/>
          <w:b w:val="0"/>
          <w:bCs w:val="0"/>
          <w:color w:val="auto"/>
          <w:sz w:val="32"/>
          <w:szCs w:val="32"/>
          <w:highlight w:val="none"/>
          <w:lang w:eastAsia="zh-CN"/>
        </w:rPr>
        <w:t>，全部</w:t>
      </w:r>
      <w:r>
        <w:rPr>
          <w:rFonts w:hint="eastAsia" w:ascii="仿宋" w:hAnsi="仿宋" w:eastAsia="仿宋" w:cs="仿宋"/>
          <w:b w:val="0"/>
          <w:bCs w:val="0"/>
          <w:color w:val="auto"/>
          <w:sz w:val="32"/>
          <w:szCs w:val="32"/>
          <w:highlight w:val="none"/>
        </w:rPr>
        <w:t>为结转下年支出。</w:t>
      </w:r>
      <w:r>
        <w:rPr>
          <w:rFonts w:hint="eastAsia" w:ascii="仿宋" w:hAnsi="仿宋" w:eastAsia="仿宋" w:cs="仿宋"/>
          <w:b w:val="0"/>
          <w:bCs w:val="0"/>
          <w:color w:val="auto"/>
          <w:sz w:val="32"/>
          <w:szCs w:val="32"/>
          <w:highlight w:val="none"/>
          <w:lang w:val="en-US" w:eastAsia="zh-CN"/>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仿宋" w:hAnsi="仿宋" w:eastAsia="仿宋" w:cs="仿宋"/>
          <w:b w:val="0"/>
          <w:bCs w:val="0"/>
          <w:color w:val="auto"/>
          <w:kern w:val="2"/>
          <w:sz w:val="32"/>
          <w:szCs w:val="32"/>
          <w:u w:val="none"/>
          <w:shd w:val="clear" w:color="auto" w:fill="auto"/>
          <w:lang w:val="en-US" w:eastAsia="zh-CN" w:bidi="ar-SA"/>
        </w:rPr>
      </w:pPr>
      <w:r>
        <w:rPr>
          <w:rFonts w:hint="eastAsia" w:ascii="仿宋" w:hAnsi="仿宋" w:eastAsia="仿宋" w:cs="仿宋"/>
          <w:b/>
          <w:bCs/>
          <w:color w:val="auto"/>
          <w:kern w:val="2"/>
          <w:sz w:val="32"/>
          <w:szCs w:val="32"/>
          <w:u w:val="none"/>
          <w:shd w:val="clear" w:color="auto" w:fill="auto"/>
          <w:lang w:val="en-US" w:eastAsia="zh-CN" w:bidi="ar-SA"/>
        </w:rPr>
        <w:t>2.政府性基金收支运行情况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楷体" w:hAnsi="楷体" w:eastAsia="楷体" w:cs="楷体"/>
          <w:b/>
          <w:bCs/>
          <w:color w:val="auto"/>
          <w:kern w:val="2"/>
          <w:sz w:val="32"/>
          <w:szCs w:val="32"/>
          <w:u w:val="none"/>
          <w:shd w:val="clear" w:color="auto" w:fill="auto"/>
          <w:lang w:val="en-US" w:eastAsia="zh-CN" w:bidi="ar-SA"/>
        </w:rPr>
        <w:t>（1）收入情况：</w:t>
      </w:r>
      <w:r>
        <w:rPr>
          <w:rFonts w:hint="eastAsia" w:ascii="仿宋" w:hAnsi="仿宋" w:eastAsia="仿宋" w:cs="仿宋"/>
          <w:b w:val="0"/>
          <w:bCs w:val="0"/>
          <w:color w:val="auto"/>
          <w:kern w:val="2"/>
          <w:sz w:val="32"/>
          <w:szCs w:val="32"/>
          <w:u w:val="none"/>
          <w:shd w:val="clear" w:color="auto" w:fill="auto"/>
          <w:lang w:val="en-US" w:eastAsia="zh-CN" w:bidi="ar-SA"/>
        </w:rPr>
        <w:t>全区2021年政府性基金收入76.8亿元，其中：本级</w:t>
      </w:r>
      <w:r>
        <w:rPr>
          <w:rFonts w:hint="eastAsia" w:ascii="仿宋" w:hAnsi="仿宋" w:eastAsia="仿宋" w:cs="仿宋"/>
          <w:sz w:val="32"/>
          <w:szCs w:val="32"/>
          <w:lang w:val="en-US" w:eastAsia="zh-CN"/>
        </w:rPr>
        <w:t>政府性基金收入-0.03亿元，上级补助收入61.59亿元，地方政府专项债务转贷收入12.65亿元，上年结余2.59亿元。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color w:val="auto"/>
          <w:kern w:val="2"/>
          <w:sz w:val="32"/>
          <w:szCs w:val="32"/>
          <w:u w:val="none"/>
          <w:shd w:val="clear" w:color="auto" w:fill="auto"/>
          <w:lang w:val="en-US" w:eastAsia="zh-CN" w:bidi="ar-SA"/>
        </w:rPr>
      </w:pPr>
      <w:r>
        <w:rPr>
          <w:rFonts w:hint="eastAsia" w:ascii="楷体" w:hAnsi="楷体" w:eastAsia="楷体" w:cs="楷体"/>
          <w:sz w:val="32"/>
          <w:szCs w:val="32"/>
          <w:lang w:val="en-US" w:eastAsia="zh-CN"/>
        </w:rPr>
        <w:t>（2）</w:t>
      </w:r>
      <w:r>
        <w:rPr>
          <w:rFonts w:hint="eastAsia" w:ascii="楷体" w:hAnsi="楷体" w:eastAsia="楷体" w:cs="楷体"/>
          <w:b/>
          <w:bCs/>
          <w:sz w:val="32"/>
          <w:szCs w:val="32"/>
          <w:lang w:val="en-US" w:eastAsia="zh-CN"/>
        </w:rPr>
        <w:t>支出情况：</w:t>
      </w:r>
      <w:r>
        <w:rPr>
          <w:rFonts w:hint="eastAsia" w:ascii="仿宋" w:hAnsi="仿宋" w:eastAsia="仿宋" w:cs="仿宋"/>
          <w:b w:val="0"/>
          <w:bCs w:val="0"/>
          <w:color w:val="auto"/>
          <w:kern w:val="2"/>
          <w:sz w:val="32"/>
          <w:szCs w:val="32"/>
          <w:highlight w:val="none"/>
          <w:u w:val="none"/>
          <w:shd w:val="clear" w:color="auto" w:fill="auto"/>
          <w:lang w:val="en-US" w:eastAsia="zh-CN" w:bidi="ar-SA"/>
        </w:rPr>
        <w:t>政府性基金支出76.52亿元，</w:t>
      </w:r>
      <w:r>
        <w:rPr>
          <w:rFonts w:hint="eastAsia" w:ascii="仿宋" w:hAnsi="仿宋" w:eastAsia="仿宋" w:cs="仿宋"/>
          <w:sz w:val="32"/>
          <w:szCs w:val="32"/>
          <w:lang w:val="en-US" w:eastAsia="zh-CN"/>
        </w:rPr>
        <w:t>其中：地方政府专项债务转贷还本支出0.17亿元</w:t>
      </w:r>
      <w:r>
        <w:rPr>
          <w:rFonts w:hint="eastAsia" w:ascii="仿宋" w:hAnsi="仿宋" w:eastAsia="仿宋" w:cs="仿宋"/>
          <w:color w:val="auto"/>
          <w:sz w:val="32"/>
          <w:szCs w:val="32"/>
          <w:lang w:val="en-US" w:eastAsia="zh-CN"/>
        </w:rPr>
        <w:t>，</w:t>
      </w:r>
      <w:r>
        <w:rPr>
          <w:rFonts w:hint="eastAsia" w:ascii="仿宋" w:hAnsi="仿宋" w:eastAsia="仿宋" w:cs="仿宋"/>
          <w:b w:val="0"/>
          <w:bCs w:val="0"/>
          <w:color w:val="auto"/>
          <w:kern w:val="2"/>
          <w:sz w:val="32"/>
          <w:szCs w:val="32"/>
          <w:u w:val="none"/>
          <w:shd w:val="clear" w:color="auto" w:fill="auto"/>
          <w:lang w:val="en-US" w:eastAsia="zh-CN" w:bidi="ar-SA"/>
        </w:rPr>
        <w:t>调出资金47.6亿元，</w:t>
      </w:r>
      <w:r>
        <w:rPr>
          <w:rFonts w:hint="eastAsia" w:ascii="仿宋" w:hAnsi="仿宋" w:eastAsia="仿宋" w:cs="仿宋"/>
          <w:color w:val="auto"/>
          <w:sz w:val="32"/>
          <w:szCs w:val="32"/>
          <w:lang w:val="en-US" w:eastAsia="zh-CN"/>
        </w:rPr>
        <w:t>本级</w:t>
      </w:r>
      <w:r>
        <w:rPr>
          <w:rFonts w:hint="eastAsia" w:ascii="仿宋" w:hAnsi="仿宋" w:eastAsia="仿宋" w:cs="仿宋"/>
          <w:b w:val="0"/>
          <w:bCs w:val="0"/>
          <w:color w:val="auto"/>
          <w:kern w:val="2"/>
          <w:sz w:val="32"/>
          <w:szCs w:val="32"/>
          <w:u w:val="none"/>
          <w:shd w:val="clear" w:color="auto" w:fill="auto"/>
          <w:lang w:val="en-US" w:eastAsia="zh-CN" w:bidi="ar-SA"/>
        </w:rPr>
        <w:t>基金支出28.75亿元。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color w:val="auto"/>
          <w:kern w:val="2"/>
          <w:sz w:val="32"/>
          <w:szCs w:val="32"/>
          <w:u w:val="none"/>
          <w:shd w:val="clear" w:color="auto" w:fill="auto"/>
          <w:lang w:val="en-US" w:eastAsia="zh-CN" w:bidi="ar-SA"/>
        </w:rPr>
      </w:pPr>
      <w:r>
        <w:rPr>
          <w:rFonts w:hint="eastAsia" w:ascii="仿宋" w:hAnsi="仿宋" w:eastAsia="仿宋" w:cs="仿宋"/>
          <w:sz w:val="32"/>
          <w:szCs w:val="32"/>
          <w:lang w:val="en-US" w:eastAsia="zh-CN"/>
        </w:rPr>
        <w:t>本级</w:t>
      </w:r>
      <w:r>
        <w:rPr>
          <w:rFonts w:hint="eastAsia" w:ascii="仿宋" w:hAnsi="仿宋" w:eastAsia="仿宋" w:cs="仿宋"/>
          <w:b w:val="0"/>
          <w:bCs w:val="0"/>
          <w:color w:val="auto"/>
          <w:kern w:val="2"/>
          <w:sz w:val="32"/>
          <w:szCs w:val="32"/>
          <w:u w:val="none"/>
          <w:shd w:val="clear" w:color="auto" w:fill="auto"/>
          <w:lang w:val="en-US" w:eastAsia="zh-CN" w:bidi="ar-SA"/>
        </w:rPr>
        <w:t>基金支出主要用于：</w:t>
      </w:r>
      <w:r>
        <w:rPr>
          <w:rFonts w:hint="eastAsia" w:ascii="仿宋" w:hAnsi="仿宋" w:eastAsia="仿宋" w:cs="仿宋"/>
          <w:sz w:val="32"/>
          <w:szCs w:val="32"/>
          <w:lang w:val="en-US" w:eastAsia="zh-CN"/>
        </w:rPr>
        <w:t>地方政府专项债务转贷</w:t>
      </w:r>
      <w:r>
        <w:rPr>
          <w:rFonts w:hint="eastAsia" w:ascii="仿宋" w:hAnsi="仿宋" w:eastAsia="仿宋" w:cs="仿宋"/>
          <w:b w:val="0"/>
          <w:bCs w:val="0"/>
          <w:color w:val="auto"/>
          <w:kern w:val="2"/>
          <w:sz w:val="32"/>
          <w:szCs w:val="32"/>
          <w:u w:val="none"/>
          <w:shd w:val="clear" w:color="auto" w:fill="auto"/>
          <w:lang w:val="en-US" w:eastAsia="zh-CN" w:bidi="ar-SA"/>
        </w:rPr>
        <w:t>支出12.48亿元</w:t>
      </w:r>
      <w:r>
        <w:rPr>
          <w:rFonts w:hint="eastAsia" w:ascii="仿宋" w:hAnsi="仿宋" w:eastAsia="仿宋" w:cs="仿宋"/>
          <w:b w:val="0"/>
          <w:bCs w:val="0"/>
          <w:snapToGrid w:val="0"/>
          <w:color w:val="auto"/>
          <w:sz w:val="32"/>
          <w:szCs w:val="32"/>
          <w:highlight w:val="none"/>
          <w:lang w:val="en-US" w:eastAsia="zh-CN"/>
        </w:rPr>
        <w:t>用于我区职业教育建设9亿元，市政基础设施建设3.48亿元；</w:t>
      </w:r>
      <w:r>
        <w:rPr>
          <w:rFonts w:hint="eastAsia" w:ascii="仿宋" w:hAnsi="仿宋" w:eastAsia="仿宋" w:cs="仿宋"/>
          <w:b w:val="0"/>
          <w:bCs w:val="0"/>
          <w:color w:val="auto"/>
          <w:kern w:val="2"/>
          <w:sz w:val="32"/>
          <w:szCs w:val="32"/>
          <w:u w:val="none"/>
          <w:shd w:val="clear" w:color="auto" w:fill="auto"/>
          <w:lang w:val="en-US" w:eastAsia="zh-CN" w:bidi="ar-SA"/>
        </w:rPr>
        <w:t>征地拆迁6.07亿元、城市基础设施建设支出9.48亿元、社会事业0.72亿元。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仿宋" w:hAnsi="仿宋" w:eastAsia="仿宋" w:cs="仿宋"/>
          <w:b w:val="0"/>
          <w:bCs w:val="0"/>
          <w:color w:val="0000FF"/>
          <w:kern w:val="2"/>
          <w:sz w:val="32"/>
          <w:szCs w:val="32"/>
          <w:highlight w:val="yellow"/>
          <w:u w:val="none"/>
          <w:shd w:val="clear" w:color="auto" w:fill="auto"/>
          <w:lang w:val="en-US" w:eastAsia="zh-CN" w:bidi="ar-SA"/>
        </w:rPr>
      </w:pPr>
      <w:r>
        <w:rPr>
          <w:rFonts w:hint="eastAsia" w:ascii="楷体" w:hAnsi="楷体" w:eastAsia="楷体" w:cs="楷体"/>
          <w:b/>
          <w:bCs/>
          <w:color w:val="auto"/>
          <w:kern w:val="2"/>
          <w:sz w:val="32"/>
          <w:szCs w:val="32"/>
          <w:u w:val="none"/>
          <w:shd w:val="clear" w:color="auto" w:fill="auto"/>
          <w:lang w:val="en-US" w:eastAsia="zh-CN" w:bidi="ar-SA"/>
        </w:rPr>
        <w:t>（3）平衡情况</w:t>
      </w:r>
      <w:r>
        <w:rPr>
          <w:rFonts w:hint="eastAsia" w:ascii="仿宋" w:hAnsi="仿宋" w:eastAsia="仿宋" w:cs="仿宋"/>
          <w:b w:val="0"/>
          <w:bCs w:val="0"/>
          <w:color w:val="auto"/>
          <w:kern w:val="2"/>
          <w:sz w:val="32"/>
          <w:szCs w:val="32"/>
          <w:u w:val="none"/>
          <w:shd w:val="clear" w:color="auto" w:fill="auto"/>
          <w:lang w:val="en-US" w:eastAsia="zh-CN" w:bidi="ar-SA"/>
        </w:rPr>
        <w:t>：</w:t>
      </w:r>
      <w:r>
        <w:rPr>
          <w:rFonts w:hint="eastAsia" w:ascii="仿宋" w:hAnsi="仿宋" w:eastAsia="仿宋" w:cs="仿宋"/>
          <w:b w:val="0"/>
          <w:bCs w:val="0"/>
          <w:color w:val="auto"/>
          <w:sz w:val="32"/>
          <w:szCs w:val="32"/>
          <w:highlight w:val="none"/>
        </w:rPr>
        <w:t>收支相抵</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年终结余</w:t>
      </w:r>
      <w:r>
        <w:rPr>
          <w:rFonts w:hint="eastAsia" w:ascii="仿宋" w:hAnsi="仿宋" w:eastAsia="仿宋" w:cs="仿宋"/>
          <w:b w:val="0"/>
          <w:bCs w:val="0"/>
          <w:color w:val="auto"/>
          <w:sz w:val="32"/>
          <w:szCs w:val="32"/>
          <w:highlight w:val="none"/>
          <w:lang w:val="en-US" w:eastAsia="zh-CN"/>
        </w:rPr>
        <w:t>0.28亿</w:t>
      </w:r>
      <w:r>
        <w:rPr>
          <w:rFonts w:hint="eastAsia" w:ascii="仿宋" w:hAnsi="仿宋" w:eastAsia="仿宋" w:cs="仿宋"/>
          <w:b w:val="0"/>
          <w:bCs w:val="0"/>
          <w:color w:val="auto"/>
          <w:sz w:val="32"/>
          <w:szCs w:val="32"/>
          <w:highlight w:val="none"/>
        </w:rPr>
        <w:t>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仿宋" w:hAnsi="仿宋" w:eastAsia="仿宋" w:cs="仿宋"/>
          <w:b/>
          <w:bCs/>
          <w:color w:val="auto"/>
          <w:kern w:val="2"/>
          <w:sz w:val="32"/>
          <w:szCs w:val="32"/>
          <w:u w:val="none"/>
          <w:shd w:val="clear" w:color="auto" w:fill="auto"/>
          <w:lang w:val="en-US" w:eastAsia="zh-CN" w:bidi="ar-SA"/>
        </w:rPr>
      </w:pPr>
      <w:r>
        <w:rPr>
          <w:rFonts w:hint="eastAsia" w:ascii="仿宋" w:hAnsi="仿宋" w:eastAsia="仿宋" w:cs="仿宋"/>
          <w:b/>
          <w:bCs/>
          <w:color w:val="auto"/>
          <w:kern w:val="2"/>
          <w:sz w:val="32"/>
          <w:szCs w:val="32"/>
          <w:u w:val="none"/>
          <w:shd w:val="clear" w:color="auto" w:fill="auto"/>
          <w:lang w:val="en-US" w:eastAsia="zh-CN" w:bidi="ar-SA"/>
        </w:rPr>
        <w:t>3.社会保险基金收支运行情况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val="0"/>
          <w:bCs w:val="0"/>
          <w:color w:val="auto"/>
          <w:kern w:val="2"/>
          <w:sz w:val="32"/>
          <w:szCs w:val="32"/>
          <w:highlight w:val="none"/>
          <w:u w:val="none"/>
          <w:shd w:val="clear" w:color="auto" w:fill="auto"/>
          <w:lang w:val="en-US" w:eastAsia="zh-CN" w:bidi="ar-SA"/>
        </w:rPr>
      </w:pPr>
      <w:r>
        <w:rPr>
          <w:rFonts w:hint="eastAsia" w:ascii="楷体" w:hAnsi="楷体" w:eastAsia="楷体" w:cs="楷体"/>
          <w:b/>
          <w:bCs/>
          <w:color w:val="auto"/>
          <w:kern w:val="2"/>
          <w:sz w:val="32"/>
          <w:szCs w:val="32"/>
          <w:highlight w:val="none"/>
          <w:u w:val="none"/>
          <w:shd w:val="clear" w:color="auto" w:fill="auto"/>
          <w:lang w:val="en-US" w:eastAsia="zh-CN" w:bidi="ar-SA"/>
        </w:rPr>
        <w:t>（1）收入情况：</w:t>
      </w:r>
      <w:r>
        <w:rPr>
          <w:rFonts w:hint="eastAsia" w:ascii="仿宋" w:hAnsi="仿宋" w:eastAsia="仿宋" w:cs="仿宋"/>
          <w:b w:val="0"/>
          <w:bCs w:val="0"/>
          <w:color w:val="auto"/>
          <w:kern w:val="2"/>
          <w:sz w:val="32"/>
          <w:szCs w:val="32"/>
          <w:highlight w:val="none"/>
          <w:u w:val="none"/>
          <w:shd w:val="clear" w:color="auto" w:fill="auto"/>
          <w:lang w:val="en-US" w:eastAsia="zh-CN" w:bidi="ar-SA"/>
        </w:rPr>
        <w:t>2021年全区社会保险基金收入完成4.38亿元，其中：保险费收入0.35亿元，财政补贴收入0.02亿元，利息收入0.03亿元，转移收入0.11亿元，上级补助收入3.87亿元；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val="0"/>
          <w:bCs w:val="0"/>
          <w:color w:val="auto"/>
          <w:kern w:val="2"/>
          <w:sz w:val="32"/>
          <w:szCs w:val="32"/>
          <w:highlight w:val="none"/>
          <w:u w:val="none"/>
          <w:shd w:val="clear" w:color="auto" w:fill="auto"/>
          <w:lang w:val="en-US" w:eastAsia="zh-CN" w:bidi="ar-SA"/>
        </w:rPr>
      </w:pPr>
      <w:r>
        <w:rPr>
          <w:rFonts w:hint="eastAsia" w:ascii="楷体" w:hAnsi="楷体" w:eastAsia="楷体" w:cs="楷体"/>
          <w:b/>
          <w:bCs/>
          <w:color w:val="auto"/>
          <w:kern w:val="2"/>
          <w:sz w:val="32"/>
          <w:szCs w:val="32"/>
          <w:highlight w:val="none"/>
          <w:u w:val="none"/>
          <w:shd w:val="clear" w:color="auto" w:fill="auto"/>
          <w:lang w:val="en-US" w:eastAsia="zh-CN" w:bidi="ar-SA"/>
        </w:rPr>
        <w:t>（2）支出情况：</w:t>
      </w:r>
      <w:r>
        <w:rPr>
          <w:rFonts w:hint="eastAsia" w:ascii="仿宋" w:hAnsi="仿宋" w:eastAsia="仿宋" w:cs="仿宋"/>
          <w:b w:val="0"/>
          <w:bCs w:val="0"/>
          <w:color w:val="auto"/>
          <w:kern w:val="2"/>
          <w:sz w:val="32"/>
          <w:szCs w:val="32"/>
          <w:highlight w:val="none"/>
          <w:u w:val="none"/>
          <w:shd w:val="clear" w:color="auto" w:fill="auto"/>
          <w:lang w:val="en-US" w:eastAsia="zh-CN" w:bidi="ar-SA"/>
        </w:rPr>
        <w:t>全区社会保险基金支出4.11亿元，其中企业职工基本养老保险基金支出3.23亿元，机关事业单位基本养老保险基金支出0.4亿元，职工基本医疗保险基金支出0.23亿元，城乡居民医疗保险基金支出0.25亿元，工伤保险基金支出32万元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val="0"/>
          <w:bCs w:val="0"/>
          <w:color w:val="auto"/>
          <w:kern w:val="2"/>
          <w:sz w:val="32"/>
          <w:szCs w:val="32"/>
          <w:highlight w:val="none"/>
          <w:u w:val="none"/>
          <w:shd w:val="clear" w:color="auto" w:fill="auto"/>
          <w:lang w:val="en-US" w:eastAsia="zh-CN" w:bidi="ar-SA"/>
        </w:rPr>
      </w:pPr>
      <w:r>
        <w:rPr>
          <w:rFonts w:hint="eastAsia" w:ascii="楷体" w:hAnsi="楷体" w:eastAsia="楷体" w:cs="楷体"/>
          <w:b/>
          <w:bCs/>
          <w:color w:val="auto"/>
          <w:kern w:val="2"/>
          <w:sz w:val="32"/>
          <w:szCs w:val="32"/>
          <w:highlight w:val="none"/>
          <w:u w:val="none"/>
          <w:shd w:val="clear" w:color="auto" w:fill="auto"/>
          <w:lang w:val="en-US" w:eastAsia="zh-CN" w:bidi="ar-SA"/>
        </w:rPr>
        <w:t>（3）平衡情况：</w:t>
      </w:r>
      <w:r>
        <w:rPr>
          <w:rFonts w:hint="eastAsia" w:ascii="仿宋" w:hAnsi="仿宋" w:eastAsia="仿宋" w:cs="仿宋"/>
          <w:b w:val="0"/>
          <w:bCs w:val="0"/>
          <w:color w:val="auto"/>
          <w:kern w:val="2"/>
          <w:sz w:val="32"/>
          <w:szCs w:val="32"/>
          <w:highlight w:val="none"/>
          <w:u w:val="none"/>
          <w:shd w:val="clear" w:color="auto" w:fill="auto"/>
          <w:lang w:val="en-US" w:eastAsia="zh-CN" w:bidi="ar-SA"/>
        </w:rPr>
        <w:t>当年收支结余0.27亿元，年末滚存结余1.63亿元。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bCs/>
          <w:color w:val="auto"/>
          <w:kern w:val="2"/>
          <w:sz w:val="32"/>
          <w:szCs w:val="32"/>
          <w:u w:val="none"/>
          <w:shd w:val="clear" w:color="auto" w:fill="auto"/>
          <w:lang w:val="en-US" w:eastAsia="zh-CN" w:bidi="ar-SA"/>
        </w:rPr>
      </w:pPr>
      <w:r>
        <w:rPr>
          <w:rFonts w:hint="eastAsia" w:ascii="仿宋" w:hAnsi="仿宋" w:eastAsia="仿宋" w:cs="仿宋"/>
          <w:b/>
          <w:bCs/>
          <w:color w:val="auto"/>
          <w:kern w:val="2"/>
          <w:sz w:val="32"/>
          <w:szCs w:val="32"/>
          <w:u w:val="none"/>
          <w:shd w:val="clear" w:color="auto" w:fill="auto"/>
          <w:lang w:val="en-US" w:eastAsia="zh-CN" w:bidi="ar-SA"/>
        </w:rPr>
        <w:t>4.国有资本经营预算运行情况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b w:val="0"/>
          <w:bCs w:val="0"/>
          <w:color w:val="000000" w:themeColor="text1"/>
          <w:kern w:val="2"/>
          <w:sz w:val="32"/>
          <w:szCs w:val="32"/>
          <w:u w:val="none"/>
          <w:shd w:val="clear" w:color="auto" w:fill="auto"/>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u w:val="none"/>
          <w:shd w:val="clear" w:color="auto" w:fill="auto"/>
          <w:lang w:val="en-US" w:eastAsia="zh-CN" w:bidi="ar-SA"/>
          <w14:textFill>
            <w14:solidFill>
              <w14:schemeClr w14:val="tx1"/>
            </w14:solidFill>
          </w14:textFill>
        </w:rPr>
        <w:t>2021年我区国有资本经营预算收入完成20.02万元，其中：上级补助收入10.02万元，上年结余10万元；国有资本经营预算支出10万元，结余10.02万元，结余资金结转下年使用。</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outlineLvl w:val="9"/>
        <w:rPr>
          <w:rFonts w:hint="eastAsia" w:ascii="楷体_GB2312" w:hAnsi="宋体" w:eastAsia="楷体_GB2312"/>
          <w:b/>
          <w:snapToGrid w:val="0"/>
          <w:color w:val="auto"/>
          <w:sz w:val="32"/>
          <w:szCs w:val="32"/>
          <w:highlight w:val="none"/>
          <w:lang w:eastAsia="zh-CN"/>
        </w:rPr>
      </w:pPr>
      <w:r>
        <w:rPr>
          <w:rFonts w:hint="eastAsia"/>
          <w:lang w:val="en-US" w:eastAsia="zh-CN"/>
        </w:rPr>
        <w:t xml:space="preserve"> </w:t>
      </w:r>
      <w:r>
        <w:rPr>
          <w:rFonts w:hint="eastAsia" w:ascii="楷体" w:hAnsi="楷体" w:eastAsia="楷体" w:cs="楷体"/>
          <w:b/>
          <w:bCs/>
          <w:sz w:val="32"/>
          <w:szCs w:val="32"/>
          <w:lang w:val="en-US" w:eastAsia="zh-CN"/>
        </w:rPr>
        <w:t>5.</w:t>
      </w:r>
      <w:r>
        <w:rPr>
          <w:rFonts w:hint="eastAsia" w:ascii="楷体" w:hAnsi="楷体" w:eastAsia="楷体" w:cs="楷体"/>
          <w:b/>
          <w:bCs/>
          <w:snapToGrid w:val="0"/>
          <w:color w:val="auto"/>
          <w:sz w:val="32"/>
          <w:szCs w:val="32"/>
          <w:highlight w:val="none"/>
          <w:lang w:eastAsia="zh-CN"/>
        </w:rPr>
        <w:t>其</w:t>
      </w:r>
      <w:r>
        <w:rPr>
          <w:rFonts w:hint="eastAsia" w:ascii="楷体_GB2312" w:hAnsi="宋体" w:eastAsia="楷体_GB2312"/>
          <w:b/>
          <w:snapToGrid w:val="0"/>
          <w:color w:val="auto"/>
          <w:sz w:val="32"/>
          <w:szCs w:val="32"/>
          <w:highlight w:val="none"/>
          <w:lang w:eastAsia="zh-CN"/>
        </w:rPr>
        <w:t>他</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val="0"/>
          <w:bCs w:val="0"/>
          <w:snapToGrid w:val="0"/>
          <w:color w:val="auto"/>
          <w:sz w:val="32"/>
          <w:szCs w:val="32"/>
          <w:highlight w:val="none"/>
        </w:rPr>
      </w:pPr>
      <w:r>
        <w:rPr>
          <w:rFonts w:hint="eastAsia" w:ascii="仿宋" w:hAnsi="仿宋" w:eastAsia="仿宋" w:cs="仿宋"/>
          <w:b/>
          <w:bCs/>
          <w:snapToGrid w:val="0"/>
          <w:color w:val="auto"/>
          <w:sz w:val="32"/>
          <w:szCs w:val="32"/>
          <w:highlight w:val="none"/>
        </w:rPr>
        <w:t>一是预备费</w:t>
      </w:r>
      <w:r>
        <w:rPr>
          <w:rFonts w:hint="eastAsia" w:ascii="仿宋" w:hAnsi="仿宋" w:eastAsia="仿宋" w:cs="仿宋"/>
          <w:b w:val="0"/>
          <w:bCs w:val="0"/>
          <w:snapToGrid w:val="0"/>
          <w:color w:val="auto"/>
          <w:sz w:val="32"/>
          <w:szCs w:val="32"/>
          <w:highlight w:val="none"/>
        </w:rPr>
        <w:t>。20</w:t>
      </w:r>
      <w:r>
        <w:rPr>
          <w:rFonts w:hint="eastAsia" w:ascii="仿宋" w:hAnsi="仿宋" w:eastAsia="仿宋" w:cs="仿宋"/>
          <w:b w:val="0"/>
          <w:bCs w:val="0"/>
          <w:snapToGrid w:val="0"/>
          <w:color w:val="auto"/>
          <w:sz w:val="32"/>
          <w:szCs w:val="32"/>
          <w:highlight w:val="none"/>
          <w:lang w:val="en-US" w:eastAsia="zh-CN"/>
        </w:rPr>
        <w:t>21</w:t>
      </w:r>
      <w:r>
        <w:rPr>
          <w:rFonts w:hint="eastAsia" w:ascii="仿宋" w:hAnsi="仿宋" w:eastAsia="仿宋" w:cs="仿宋"/>
          <w:b w:val="0"/>
          <w:bCs w:val="0"/>
          <w:snapToGrid w:val="0"/>
          <w:color w:val="auto"/>
          <w:sz w:val="32"/>
          <w:szCs w:val="32"/>
          <w:highlight w:val="none"/>
        </w:rPr>
        <w:t>年</w:t>
      </w:r>
      <w:r>
        <w:rPr>
          <w:rFonts w:hint="eastAsia" w:ascii="仿宋" w:hAnsi="仿宋" w:eastAsia="仿宋" w:cs="仿宋"/>
          <w:b w:val="0"/>
          <w:bCs w:val="0"/>
          <w:snapToGrid w:val="0"/>
          <w:color w:val="auto"/>
          <w:sz w:val="32"/>
          <w:szCs w:val="32"/>
          <w:highlight w:val="none"/>
          <w:lang w:eastAsia="zh-CN"/>
        </w:rPr>
        <w:t>区</w:t>
      </w:r>
      <w:r>
        <w:rPr>
          <w:rFonts w:hint="eastAsia" w:ascii="仿宋" w:hAnsi="仿宋" w:eastAsia="仿宋" w:cs="仿宋"/>
          <w:b w:val="0"/>
          <w:bCs w:val="0"/>
          <w:snapToGrid w:val="0"/>
          <w:color w:val="auto"/>
          <w:sz w:val="32"/>
          <w:szCs w:val="32"/>
          <w:highlight w:val="none"/>
        </w:rPr>
        <w:t>级</w:t>
      </w:r>
      <w:r>
        <w:rPr>
          <w:rFonts w:hint="eastAsia" w:ascii="仿宋" w:hAnsi="仿宋" w:eastAsia="仿宋" w:cs="仿宋"/>
          <w:color w:val="000000"/>
          <w:sz w:val="32"/>
          <w:szCs w:val="32"/>
        </w:rPr>
        <w:t>预备费年初安排</w:t>
      </w:r>
      <w:r>
        <w:rPr>
          <w:rFonts w:hint="eastAsia" w:ascii="仿宋" w:hAnsi="仿宋" w:eastAsia="仿宋" w:cs="仿宋"/>
          <w:color w:val="000000"/>
          <w:sz w:val="32"/>
          <w:szCs w:val="32"/>
          <w:lang w:val="en-US" w:eastAsia="zh-CN"/>
        </w:rPr>
        <w:t>1亿</w:t>
      </w:r>
      <w:r>
        <w:rPr>
          <w:rFonts w:hint="eastAsia" w:ascii="仿宋" w:hAnsi="仿宋" w:eastAsia="仿宋" w:cs="仿宋"/>
          <w:color w:val="000000"/>
          <w:sz w:val="32"/>
          <w:szCs w:val="32"/>
        </w:rPr>
        <w:t>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主要是按照</w:t>
      </w:r>
      <w:r>
        <w:rPr>
          <w:rFonts w:hint="eastAsia" w:ascii="仿宋" w:hAnsi="仿宋" w:eastAsia="仿宋" w:cs="仿宋"/>
          <w:color w:val="000000"/>
          <w:sz w:val="32"/>
          <w:szCs w:val="32"/>
          <w:lang w:val="en-US" w:eastAsia="zh-CN"/>
        </w:rPr>
        <w:t xml:space="preserve">                                                                                                                             </w:t>
      </w:r>
      <w:r>
        <w:rPr>
          <w:rFonts w:hint="eastAsia" w:ascii="仿宋" w:hAnsi="仿宋" w:eastAsia="仿宋" w:cs="仿宋"/>
          <w:b w:val="0"/>
          <w:bCs w:val="0"/>
          <w:snapToGrid w:val="0"/>
          <w:color w:val="auto"/>
          <w:sz w:val="32"/>
          <w:szCs w:val="32"/>
          <w:highlight w:val="none"/>
          <w:lang w:val="en-US" w:eastAsia="zh-CN"/>
        </w:rPr>
        <w:t>《</w:t>
      </w:r>
      <w:r>
        <w:rPr>
          <w:rFonts w:hint="eastAsia" w:ascii="仿宋" w:hAnsi="仿宋" w:eastAsia="仿宋" w:cs="仿宋"/>
          <w:color w:val="000000"/>
          <w:sz w:val="32"/>
          <w:szCs w:val="32"/>
        </w:rPr>
        <w:t>预算法</w:t>
      </w:r>
      <w:r>
        <w:rPr>
          <w:rFonts w:hint="eastAsia" w:ascii="仿宋" w:hAnsi="仿宋" w:eastAsia="仿宋" w:cs="仿宋"/>
          <w:b w:val="0"/>
          <w:bCs w:val="0"/>
          <w:snapToGrid w:val="0"/>
          <w:color w:val="auto"/>
          <w:sz w:val="32"/>
          <w:szCs w:val="32"/>
          <w:highlight w:val="none"/>
          <w:lang w:val="en-US" w:eastAsia="zh-CN"/>
        </w:rPr>
        <w:t>》</w:t>
      </w:r>
      <w:r>
        <w:rPr>
          <w:rFonts w:hint="eastAsia" w:ascii="仿宋" w:hAnsi="仿宋" w:eastAsia="仿宋" w:cs="仿宋"/>
          <w:color w:val="000000"/>
          <w:sz w:val="32"/>
          <w:szCs w:val="32"/>
        </w:rPr>
        <w:t>的要求用于突发事件处置及其</w:t>
      </w:r>
      <w:r>
        <w:rPr>
          <w:rFonts w:hint="eastAsia" w:ascii="仿宋" w:hAnsi="仿宋" w:eastAsia="仿宋" w:cs="仿宋"/>
          <w:color w:val="000000"/>
          <w:sz w:val="32"/>
          <w:szCs w:val="32"/>
          <w:lang w:val="en-US" w:eastAsia="zh-CN"/>
        </w:rPr>
        <w:t>它</w:t>
      </w:r>
      <w:r>
        <w:rPr>
          <w:rFonts w:hint="eastAsia" w:ascii="仿宋" w:hAnsi="仿宋" w:eastAsia="仿宋" w:cs="仿宋"/>
          <w:color w:val="000000"/>
          <w:sz w:val="32"/>
          <w:szCs w:val="32"/>
        </w:rPr>
        <w:t>难以预见的开支。</w:t>
      </w:r>
      <w:r>
        <w:rPr>
          <w:rFonts w:hint="eastAsia" w:ascii="仿宋" w:hAnsi="仿宋" w:eastAsia="仿宋" w:cs="仿宋"/>
          <w:color w:val="000000"/>
          <w:sz w:val="32"/>
          <w:szCs w:val="32"/>
          <w:lang w:val="en-US" w:eastAsia="zh-CN"/>
        </w:rPr>
        <w:t>实际</w:t>
      </w:r>
      <w:r>
        <w:rPr>
          <w:rFonts w:hint="eastAsia" w:ascii="仿宋" w:hAnsi="仿宋" w:eastAsia="仿宋" w:cs="仿宋"/>
          <w:b w:val="0"/>
          <w:bCs w:val="0"/>
          <w:snapToGrid w:val="0"/>
          <w:color w:val="auto"/>
          <w:sz w:val="32"/>
          <w:szCs w:val="32"/>
          <w:highlight w:val="none"/>
          <w:lang w:val="en-US" w:eastAsia="zh-CN"/>
        </w:rPr>
        <w:t>未</w:t>
      </w:r>
      <w:r>
        <w:rPr>
          <w:rFonts w:hint="eastAsia" w:ascii="仿宋" w:hAnsi="仿宋" w:eastAsia="仿宋" w:cs="仿宋"/>
          <w:b w:val="0"/>
          <w:bCs w:val="0"/>
          <w:snapToGrid w:val="0"/>
          <w:color w:val="auto"/>
          <w:sz w:val="32"/>
          <w:szCs w:val="32"/>
          <w:highlight w:val="none"/>
        </w:rPr>
        <w:t>支出</w:t>
      </w:r>
      <w:r>
        <w:rPr>
          <w:rFonts w:hint="eastAsia" w:ascii="仿宋" w:hAnsi="仿宋" w:eastAsia="仿宋" w:cs="仿宋"/>
          <w:b w:val="0"/>
          <w:bCs w:val="0"/>
          <w:snapToGrid w:val="0"/>
          <w:color w:val="auto"/>
          <w:sz w:val="32"/>
          <w:szCs w:val="32"/>
          <w:highlight w:val="none"/>
          <w:lang w:val="en-US" w:eastAsia="zh-CN"/>
        </w:rPr>
        <w:t>，全部</w:t>
      </w:r>
      <w:r>
        <w:rPr>
          <w:rFonts w:hint="eastAsia" w:ascii="仿宋" w:hAnsi="仿宋" w:eastAsia="仿宋" w:cs="仿宋"/>
          <w:b w:val="0"/>
          <w:bCs w:val="0"/>
          <w:snapToGrid w:val="0"/>
          <w:color w:val="auto"/>
          <w:sz w:val="32"/>
          <w:szCs w:val="32"/>
          <w:highlight w:val="none"/>
        </w:rPr>
        <w:t>收回</w:t>
      </w:r>
      <w:r>
        <w:rPr>
          <w:rFonts w:hint="eastAsia" w:ascii="仿宋" w:hAnsi="仿宋" w:eastAsia="仿宋" w:cs="仿宋"/>
          <w:b w:val="0"/>
          <w:bCs w:val="0"/>
          <w:snapToGrid w:val="0"/>
          <w:color w:val="auto"/>
          <w:sz w:val="32"/>
          <w:szCs w:val="32"/>
          <w:highlight w:val="none"/>
          <w:lang w:eastAsia="zh-CN"/>
        </w:rPr>
        <w:t>区</w:t>
      </w:r>
      <w:r>
        <w:rPr>
          <w:rFonts w:hint="eastAsia" w:ascii="仿宋" w:hAnsi="仿宋" w:eastAsia="仿宋" w:cs="仿宋"/>
          <w:b w:val="0"/>
          <w:bCs w:val="0"/>
          <w:snapToGrid w:val="0"/>
          <w:color w:val="auto"/>
          <w:sz w:val="32"/>
          <w:szCs w:val="32"/>
          <w:highlight w:val="none"/>
        </w:rPr>
        <w:t>级预算。</w:t>
      </w:r>
    </w:p>
    <w:p>
      <w:pPr>
        <w:pStyle w:val="4"/>
        <w:ind w:firstLine="643" w:firstLineChars="200"/>
        <w:rPr>
          <w:rFonts w:hint="eastAsia" w:ascii="仿宋" w:hAnsi="仿宋" w:eastAsia="仿宋" w:cs="仿宋"/>
          <w:b/>
          <w:bCs/>
          <w:snapToGrid w:val="0"/>
          <w:color w:val="auto"/>
          <w:sz w:val="32"/>
          <w:szCs w:val="32"/>
          <w:highlight w:val="none"/>
          <w:lang w:eastAsia="zh-CN"/>
        </w:rPr>
      </w:pPr>
      <w:r>
        <w:rPr>
          <w:rFonts w:hint="eastAsia" w:ascii="仿宋" w:hAnsi="仿宋" w:eastAsia="仿宋" w:cs="仿宋"/>
          <w:b/>
          <w:bCs/>
          <w:snapToGrid w:val="0"/>
          <w:color w:val="auto"/>
          <w:sz w:val="32"/>
          <w:szCs w:val="32"/>
          <w:highlight w:val="none"/>
          <w:lang w:val="en-US" w:eastAsia="zh-CN"/>
        </w:rPr>
        <w:t>二</w:t>
      </w:r>
      <w:r>
        <w:rPr>
          <w:rFonts w:hint="eastAsia" w:ascii="仿宋" w:hAnsi="仿宋" w:eastAsia="仿宋" w:cs="仿宋"/>
          <w:b/>
          <w:bCs/>
          <w:snapToGrid w:val="0"/>
          <w:color w:val="auto"/>
          <w:sz w:val="32"/>
          <w:szCs w:val="32"/>
          <w:highlight w:val="none"/>
          <w:lang w:eastAsia="zh-CN"/>
        </w:rPr>
        <w:t>是</w:t>
      </w:r>
      <w:r>
        <w:rPr>
          <w:rFonts w:hint="eastAsia" w:ascii="仿宋" w:hAnsi="仿宋" w:eastAsia="仿宋" w:cs="仿宋"/>
          <w:b/>
          <w:bCs/>
          <w:snapToGrid w:val="0"/>
          <w:color w:val="auto"/>
          <w:sz w:val="32"/>
          <w:szCs w:val="32"/>
          <w:highlight w:val="none"/>
        </w:rPr>
        <w:t>地方政府债务情况</w:t>
      </w:r>
      <w:r>
        <w:rPr>
          <w:rFonts w:hint="eastAsia" w:ascii="仿宋" w:hAnsi="仿宋" w:eastAsia="仿宋" w:cs="仿宋"/>
          <w:b/>
          <w:bCs/>
          <w:snapToGrid w:val="0"/>
          <w:color w:val="auto"/>
          <w:sz w:val="32"/>
          <w:szCs w:val="32"/>
          <w:highlight w:val="none"/>
          <w:lang w:eastAsia="zh-CN"/>
        </w:rPr>
        <w:t>。</w:t>
      </w:r>
    </w:p>
    <w:p>
      <w:pPr>
        <w:pStyle w:val="7"/>
        <w:keepNext w:val="0"/>
        <w:keepLines w:val="0"/>
        <w:widowControl/>
        <w:suppressLineNumbers w:val="0"/>
        <w:spacing w:before="0" w:beforeAutospacing="0" w:after="0" w:afterAutospacing="0" w:line="420" w:lineRule="atLeast"/>
        <w:ind w:right="0" w:firstLine="643" w:firstLineChars="200"/>
        <w:jc w:val="both"/>
        <w:rPr>
          <w:rFonts w:hint="eastAsia" w:ascii="仿宋" w:hAnsi="仿宋" w:eastAsia="仿宋" w:cs="仿宋"/>
          <w:sz w:val="32"/>
          <w:szCs w:val="32"/>
          <w:highlight w:val="none"/>
        </w:rPr>
      </w:pPr>
      <w:r>
        <w:rPr>
          <w:rFonts w:hint="eastAsia" w:ascii="仿宋" w:hAnsi="仿宋" w:eastAsia="仿宋" w:cs="仿宋"/>
          <w:b/>
          <w:bCs/>
          <w:snapToGrid w:val="0"/>
          <w:color w:val="auto"/>
          <w:sz w:val="32"/>
          <w:szCs w:val="32"/>
          <w:highlight w:val="none"/>
          <w:lang w:val="en-US" w:eastAsia="zh-CN"/>
        </w:rPr>
        <w:t>（1）举债规模：</w:t>
      </w:r>
      <w:r>
        <w:rPr>
          <w:rFonts w:hint="eastAsia" w:ascii="仿宋" w:hAnsi="仿宋" w:eastAsia="仿宋" w:cs="仿宋"/>
          <w:b w:val="0"/>
          <w:bCs w:val="0"/>
          <w:snapToGrid w:val="0"/>
          <w:color w:val="auto"/>
          <w:sz w:val="32"/>
          <w:szCs w:val="32"/>
          <w:highlight w:val="none"/>
        </w:rPr>
        <w:t>20</w:t>
      </w:r>
      <w:r>
        <w:rPr>
          <w:rFonts w:hint="eastAsia" w:ascii="仿宋" w:hAnsi="仿宋" w:eastAsia="仿宋" w:cs="仿宋"/>
          <w:b w:val="0"/>
          <w:bCs w:val="0"/>
          <w:snapToGrid w:val="0"/>
          <w:color w:val="auto"/>
          <w:sz w:val="32"/>
          <w:szCs w:val="32"/>
          <w:highlight w:val="none"/>
          <w:lang w:val="en-US" w:eastAsia="zh-CN"/>
        </w:rPr>
        <w:t>21</w:t>
      </w:r>
      <w:r>
        <w:rPr>
          <w:rFonts w:hint="eastAsia" w:ascii="仿宋" w:hAnsi="仿宋" w:eastAsia="仿宋" w:cs="仿宋"/>
          <w:b w:val="0"/>
          <w:bCs w:val="0"/>
          <w:snapToGrid w:val="0"/>
          <w:color w:val="auto"/>
          <w:sz w:val="32"/>
          <w:szCs w:val="32"/>
          <w:highlight w:val="none"/>
        </w:rPr>
        <w:t>年，我</w:t>
      </w:r>
      <w:r>
        <w:rPr>
          <w:rFonts w:hint="eastAsia" w:ascii="仿宋" w:hAnsi="仿宋" w:eastAsia="仿宋" w:cs="仿宋"/>
          <w:b w:val="0"/>
          <w:bCs w:val="0"/>
          <w:snapToGrid w:val="0"/>
          <w:color w:val="auto"/>
          <w:sz w:val="32"/>
          <w:szCs w:val="32"/>
          <w:highlight w:val="none"/>
          <w:lang w:eastAsia="zh-CN"/>
        </w:rPr>
        <w:t>区</w:t>
      </w:r>
      <w:r>
        <w:rPr>
          <w:rFonts w:hint="eastAsia" w:ascii="仿宋" w:hAnsi="仿宋" w:eastAsia="仿宋" w:cs="仿宋"/>
          <w:b w:val="0"/>
          <w:bCs w:val="0"/>
          <w:snapToGrid w:val="0"/>
          <w:color w:val="auto"/>
          <w:sz w:val="32"/>
          <w:szCs w:val="32"/>
          <w:highlight w:val="none"/>
        </w:rPr>
        <w:t>政府债务限额为</w:t>
      </w:r>
      <w:r>
        <w:rPr>
          <w:rFonts w:hint="eastAsia" w:ascii="仿宋" w:hAnsi="仿宋" w:eastAsia="仿宋" w:cs="仿宋"/>
          <w:kern w:val="0"/>
          <w:sz w:val="32"/>
          <w:szCs w:val="32"/>
          <w:highlight w:val="none"/>
          <w:lang w:val="en-US" w:eastAsia="zh-CN" w:bidi="ar"/>
        </w:rPr>
        <w:t>81.87</w:t>
      </w:r>
      <w:r>
        <w:rPr>
          <w:rFonts w:hint="eastAsia" w:ascii="仿宋" w:hAnsi="仿宋" w:eastAsia="仿宋" w:cs="仿宋"/>
          <w:b w:val="0"/>
          <w:bCs w:val="0"/>
          <w:snapToGrid w:val="0"/>
          <w:color w:val="auto"/>
          <w:sz w:val="32"/>
          <w:szCs w:val="32"/>
          <w:highlight w:val="none"/>
          <w:lang w:val="en-US" w:eastAsia="zh-CN"/>
        </w:rPr>
        <w:t>亿</w:t>
      </w:r>
      <w:r>
        <w:rPr>
          <w:rFonts w:hint="eastAsia" w:ascii="仿宋" w:hAnsi="仿宋" w:eastAsia="仿宋" w:cs="仿宋"/>
          <w:b w:val="0"/>
          <w:bCs w:val="0"/>
          <w:snapToGrid w:val="0"/>
          <w:color w:val="auto"/>
          <w:sz w:val="32"/>
          <w:szCs w:val="32"/>
          <w:highlight w:val="none"/>
        </w:rPr>
        <w:t>元。</w:t>
      </w:r>
      <w:r>
        <w:rPr>
          <w:rFonts w:hint="eastAsia" w:ascii="仿宋" w:hAnsi="仿宋" w:eastAsia="仿宋" w:cs="仿宋"/>
          <w:color w:val="000000"/>
          <w:sz w:val="32"/>
          <w:szCs w:val="32"/>
          <w:highlight w:val="none"/>
          <w:shd w:val="clear" w:fill="FFFFFF"/>
        </w:rPr>
        <w:t>在批准的限额内，发行政府债券</w:t>
      </w:r>
      <w:r>
        <w:rPr>
          <w:rFonts w:hint="eastAsia" w:ascii="仿宋" w:hAnsi="仿宋" w:eastAsia="仿宋" w:cs="仿宋"/>
          <w:color w:val="000000"/>
          <w:sz w:val="32"/>
          <w:szCs w:val="32"/>
          <w:highlight w:val="none"/>
          <w:shd w:val="clear" w:fill="FFFFFF"/>
          <w:lang w:val="en-US" w:eastAsia="zh-CN"/>
        </w:rPr>
        <w:t>15.4</w:t>
      </w:r>
      <w:r>
        <w:rPr>
          <w:rFonts w:hint="eastAsia" w:ascii="仿宋" w:hAnsi="仿宋" w:eastAsia="仿宋" w:cs="仿宋"/>
          <w:color w:val="000000"/>
          <w:sz w:val="32"/>
          <w:szCs w:val="32"/>
          <w:highlight w:val="none"/>
          <w:shd w:val="clear" w:fill="FFFFFF"/>
        </w:rPr>
        <w:t>亿元，其中：新增债券</w:t>
      </w:r>
      <w:r>
        <w:rPr>
          <w:rFonts w:hint="eastAsia" w:ascii="仿宋" w:hAnsi="仿宋" w:eastAsia="仿宋" w:cs="仿宋"/>
          <w:color w:val="000000"/>
          <w:sz w:val="32"/>
          <w:szCs w:val="32"/>
          <w:highlight w:val="none"/>
          <w:shd w:val="clear" w:fill="FFFFFF"/>
          <w:lang w:val="en-US" w:eastAsia="zh-CN"/>
        </w:rPr>
        <w:t>14.65</w:t>
      </w:r>
      <w:r>
        <w:rPr>
          <w:rFonts w:hint="eastAsia" w:ascii="仿宋" w:hAnsi="仿宋" w:eastAsia="仿宋" w:cs="仿宋"/>
          <w:color w:val="000000"/>
          <w:sz w:val="32"/>
          <w:szCs w:val="32"/>
          <w:highlight w:val="none"/>
          <w:shd w:val="clear" w:fill="FFFFFF"/>
        </w:rPr>
        <w:t>亿元，再融资债券</w:t>
      </w:r>
      <w:r>
        <w:rPr>
          <w:rFonts w:hint="eastAsia" w:ascii="仿宋" w:hAnsi="仿宋" w:eastAsia="仿宋" w:cs="仿宋"/>
          <w:color w:val="000000"/>
          <w:sz w:val="32"/>
          <w:szCs w:val="32"/>
          <w:highlight w:val="none"/>
          <w:shd w:val="clear" w:fill="FFFFFF"/>
          <w:lang w:val="en-US" w:eastAsia="zh-CN"/>
        </w:rPr>
        <w:t>0.75</w:t>
      </w:r>
      <w:r>
        <w:rPr>
          <w:rFonts w:hint="eastAsia" w:ascii="仿宋" w:hAnsi="仿宋" w:eastAsia="仿宋" w:cs="仿宋"/>
          <w:color w:val="000000"/>
          <w:sz w:val="32"/>
          <w:szCs w:val="32"/>
          <w:highlight w:val="none"/>
          <w:shd w:val="clear" w:fill="FFFFFF"/>
        </w:rPr>
        <w:t>亿元。</w:t>
      </w:r>
    </w:p>
    <w:p>
      <w:pPr>
        <w:pStyle w:val="7"/>
        <w:keepNext w:val="0"/>
        <w:keepLines w:val="0"/>
        <w:widowControl/>
        <w:suppressLineNumbers w:val="0"/>
        <w:spacing w:before="0" w:beforeAutospacing="0" w:after="0" w:afterAutospacing="0" w:line="420" w:lineRule="atLeast"/>
        <w:ind w:right="0" w:firstLine="643" w:firstLineChars="200"/>
        <w:jc w:val="both"/>
        <w:rPr>
          <w:rFonts w:hint="eastAsia" w:ascii="仿宋" w:hAnsi="仿宋" w:eastAsia="仿宋" w:cs="仿宋"/>
          <w:b w:val="0"/>
          <w:bCs w:val="0"/>
          <w:snapToGrid w:val="0"/>
          <w:color w:val="auto"/>
          <w:sz w:val="32"/>
          <w:szCs w:val="32"/>
          <w:highlight w:val="none"/>
          <w:lang w:val="en-US" w:eastAsia="zh-CN"/>
        </w:rPr>
      </w:pPr>
      <w:r>
        <w:rPr>
          <w:rFonts w:hint="eastAsia" w:ascii="仿宋" w:hAnsi="仿宋" w:eastAsia="仿宋" w:cs="仿宋"/>
          <w:b/>
          <w:bCs/>
          <w:snapToGrid w:val="0"/>
          <w:color w:val="auto"/>
          <w:sz w:val="32"/>
          <w:szCs w:val="32"/>
          <w:highlight w:val="none"/>
          <w:lang w:val="en-US" w:eastAsia="zh-CN"/>
        </w:rPr>
        <w:t>（2）债务结构：</w:t>
      </w:r>
      <w:r>
        <w:rPr>
          <w:rFonts w:hint="eastAsia" w:ascii="仿宋" w:hAnsi="仿宋" w:eastAsia="仿宋" w:cs="仿宋"/>
          <w:b w:val="0"/>
          <w:bCs w:val="0"/>
          <w:snapToGrid w:val="0"/>
          <w:color w:val="auto"/>
          <w:sz w:val="32"/>
          <w:szCs w:val="32"/>
          <w:highlight w:val="none"/>
          <w:lang w:val="en-US" w:eastAsia="zh-CN"/>
        </w:rPr>
        <w:t>我区</w:t>
      </w:r>
      <w:r>
        <w:rPr>
          <w:rFonts w:hint="eastAsia" w:ascii="仿宋" w:hAnsi="仿宋" w:eastAsia="仿宋" w:cs="仿宋"/>
          <w:color w:val="000000"/>
          <w:sz w:val="32"/>
          <w:szCs w:val="32"/>
          <w:highlight w:val="none"/>
          <w:shd w:val="clear" w:fill="FFFFFF"/>
        </w:rPr>
        <w:t>政府债务余额为</w:t>
      </w:r>
      <w:r>
        <w:rPr>
          <w:rFonts w:hint="eastAsia" w:ascii="仿宋" w:hAnsi="仿宋" w:eastAsia="仿宋" w:cs="仿宋"/>
          <w:color w:val="000000"/>
          <w:sz w:val="32"/>
          <w:szCs w:val="32"/>
          <w:highlight w:val="none"/>
          <w:shd w:val="clear" w:fill="FFFFFF"/>
          <w:lang w:val="en-US" w:eastAsia="zh-CN"/>
        </w:rPr>
        <w:t>31.32</w:t>
      </w:r>
      <w:r>
        <w:rPr>
          <w:rFonts w:hint="eastAsia" w:ascii="仿宋" w:hAnsi="仿宋" w:eastAsia="仿宋" w:cs="仿宋"/>
          <w:color w:val="000000"/>
          <w:sz w:val="32"/>
          <w:szCs w:val="32"/>
          <w:highlight w:val="none"/>
          <w:shd w:val="clear" w:fill="FFFFFF"/>
        </w:rPr>
        <w:t>亿元，其中：一般债务</w:t>
      </w:r>
      <w:r>
        <w:rPr>
          <w:rFonts w:hint="eastAsia" w:ascii="仿宋" w:hAnsi="仿宋" w:eastAsia="仿宋" w:cs="仿宋"/>
          <w:color w:val="000000"/>
          <w:sz w:val="32"/>
          <w:szCs w:val="32"/>
          <w:highlight w:val="none"/>
          <w:shd w:val="clear" w:fill="FFFFFF"/>
          <w:lang w:val="en-US" w:eastAsia="zh-CN"/>
        </w:rPr>
        <w:t>15.16</w:t>
      </w:r>
      <w:r>
        <w:rPr>
          <w:rFonts w:hint="eastAsia" w:ascii="仿宋" w:hAnsi="仿宋" w:eastAsia="仿宋" w:cs="仿宋"/>
          <w:color w:val="000000"/>
          <w:sz w:val="32"/>
          <w:szCs w:val="32"/>
          <w:highlight w:val="none"/>
          <w:shd w:val="clear" w:fill="FFFFFF"/>
        </w:rPr>
        <w:t>亿元，占</w:t>
      </w:r>
      <w:r>
        <w:rPr>
          <w:rFonts w:hint="eastAsia" w:ascii="仿宋" w:hAnsi="仿宋" w:eastAsia="仿宋" w:cs="仿宋"/>
          <w:color w:val="000000"/>
          <w:sz w:val="32"/>
          <w:szCs w:val="32"/>
          <w:highlight w:val="none"/>
          <w:shd w:val="clear" w:fill="FFFFFF"/>
          <w:lang w:val="en-US" w:eastAsia="zh-CN"/>
        </w:rPr>
        <w:t>48.4</w:t>
      </w:r>
      <w:r>
        <w:rPr>
          <w:rFonts w:hint="eastAsia" w:ascii="仿宋" w:hAnsi="仿宋" w:eastAsia="仿宋" w:cs="仿宋"/>
          <w:color w:val="000000"/>
          <w:sz w:val="32"/>
          <w:szCs w:val="32"/>
          <w:highlight w:val="none"/>
          <w:shd w:val="clear" w:fill="FFFFFF"/>
        </w:rPr>
        <w:t>％；专项债务</w:t>
      </w:r>
      <w:r>
        <w:rPr>
          <w:rFonts w:hint="eastAsia" w:ascii="仿宋" w:hAnsi="仿宋" w:eastAsia="仿宋" w:cs="仿宋"/>
          <w:color w:val="000000"/>
          <w:sz w:val="32"/>
          <w:szCs w:val="32"/>
          <w:highlight w:val="none"/>
          <w:shd w:val="clear" w:fill="FFFFFF"/>
          <w:lang w:val="en-US" w:eastAsia="zh-CN"/>
        </w:rPr>
        <w:t>16.15</w:t>
      </w:r>
      <w:r>
        <w:rPr>
          <w:rFonts w:hint="eastAsia" w:ascii="仿宋" w:hAnsi="仿宋" w:eastAsia="仿宋" w:cs="仿宋"/>
          <w:color w:val="000000"/>
          <w:sz w:val="32"/>
          <w:szCs w:val="32"/>
          <w:highlight w:val="none"/>
          <w:shd w:val="clear" w:fill="FFFFFF"/>
        </w:rPr>
        <w:t>亿元，占</w:t>
      </w:r>
      <w:r>
        <w:rPr>
          <w:rFonts w:hint="eastAsia" w:ascii="仿宋" w:hAnsi="仿宋" w:eastAsia="仿宋" w:cs="仿宋"/>
          <w:color w:val="000000"/>
          <w:sz w:val="32"/>
          <w:szCs w:val="32"/>
          <w:highlight w:val="none"/>
          <w:shd w:val="clear" w:fill="FFFFFF"/>
          <w:lang w:val="en-US" w:eastAsia="zh-CN"/>
        </w:rPr>
        <w:t>51.60</w:t>
      </w:r>
      <w:r>
        <w:rPr>
          <w:rFonts w:hint="eastAsia" w:ascii="仿宋" w:hAnsi="仿宋" w:eastAsia="仿宋" w:cs="仿宋"/>
          <w:color w:val="000000"/>
          <w:sz w:val="32"/>
          <w:szCs w:val="32"/>
          <w:highlight w:val="none"/>
          <w:shd w:val="clear" w:fill="FFFFFF"/>
        </w:rPr>
        <w:t>％</w:t>
      </w:r>
      <w:r>
        <w:rPr>
          <w:rFonts w:hint="eastAsia" w:ascii="仿宋" w:hAnsi="仿宋" w:eastAsia="仿宋" w:cs="仿宋"/>
          <w:color w:val="000000"/>
          <w:sz w:val="32"/>
          <w:szCs w:val="32"/>
          <w:highlight w:val="none"/>
          <w:shd w:val="clear" w:fill="FFFFFF"/>
          <w:lang w:eastAsia="zh-CN"/>
        </w:rPr>
        <w:t>。</w:t>
      </w:r>
    </w:p>
    <w:p>
      <w:pPr>
        <w:pStyle w:val="4"/>
        <w:numPr>
          <w:ilvl w:val="0"/>
          <w:numId w:val="0"/>
        </w:numPr>
        <w:ind w:firstLine="643" w:firstLineChars="200"/>
        <w:rPr>
          <w:rFonts w:hint="default" w:ascii="仿宋" w:hAnsi="仿宋" w:eastAsia="仿宋" w:cs="仿宋"/>
          <w:b w:val="0"/>
          <w:bCs w:val="0"/>
          <w:snapToGrid w:val="0"/>
          <w:color w:val="auto"/>
          <w:sz w:val="32"/>
          <w:szCs w:val="32"/>
          <w:highlight w:val="none"/>
          <w:lang w:val="en-US" w:eastAsia="zh-CN"/>
        </w:rPr>
      </w:pPr>
      <w:r>
        <w:rPr>
          <w:rFonts w:hint="eastAsia" w:ascii="仿宋" w:hAnsi="仿宋" w:eastAsia="仿宋" w:cs="仿宋"/>
          <w:b/>
          <w:bCs/>
          <w:snapToGrid w:val="0"/>
          <w:color w:val="auto"/>
          <w:sz w:val="32"/>
          <w:szCs w:val="32"/>
          <w:highlight w:val="none"/>
          <w:lang w:val="en-US" w:eastAsia="zh-CN"/>
        </w:rPr>
        <w:t>（3）拨付情况：</w:t>
      </w:r>
      <w:r>
        <w:rPr>
          <w:rFonts w:hint="eastAsia" w:ascii="仿宋" w:hAnsi="仿宋" w:eastAsia="仿宋" w:cs="仿宋"/>
          <w:b w:val="0"/>
          <w:bCs w:val="0"/>
          <w:snapToGrid w:val="0"/>
          <w:color w:val="auto"/>
          <w:sz w:val="32"/>
          <w:szCs w:val="32"/>
          <w:highlight w:val="none"/>
          <w:lang w:val="en-US" w:eastAsia="zh-CN"/>
        </w:rPr>
        <w:t>我区新增政府债券15.4亿元，用于我区市政基础设施建设4.83亿元，占比31.36%；用于我区义务教育阶段学校建设0.82亿元，占比5.32%；用于我区职业教育建设9亿元，占比58.44%；用于偿还已到期债务0.75亿元，占比4.88%。</w:t>
      </w:r>
    </w:p>
    <w:p>
      <w:pPr>
        <w:pStyle w:val="7"/>
        <w:keepNext w:val="0"/>
        <w:keepLines w:val="0"/>
        <w:widowControl/>
        <w:suppressLineNumbers w:val="0"/>
        <w:spacing w:before="0" w:beforeAutospacing="0" w:after="0" w:afterAutospacing="0" w:line="420" w:lineRule="atLeast"/>
        <w:ind w:right="0" w:firstLine="643" w:firstLineChars="200"/>
        <w:jc w:val="both"/>
        <w:rPr>
          <w:rFonts w:hint="default" w:ascii="仿宋" w:hAnsi="仿宋" w:eastAsia="仿宋" w:cs="仿宋"/>
          <w:b w:val="0"/>
          <w:bCs w:val="0"/>
          <w:snapToGrid w:val="0"/>
          <w:color w:val="auto"/>
          <w:sz w:val="32"/>
          <w:szCs w:val="32"/>
          <w:highlight w:val="none"/>
          <w:lang w:val="en-US" w:eastAsia="zh-CN"/>
        </w:rPr>
      </w:pPr>
      <w:r>
        <w:rPr>
          <w:rFonts w:hint="eastAsia" w:ascii="仿宋" w:hAnsi="仿宋" w:eastAsia="仿宋" w:cs="仿宋"/>
          <w:b/>
          <w:bCs/>
          <w:snapToGrid w:val="0"/>
          <w:color w:val="auto"/>
          <w:sz w:val="32"/>
          <w:szCs w:val="32"/>
          <w:highlight w:val="none"/>
          <w:lang w:val="en-US" w:eastAsia="zh-CN"/>
        </w:rPr>
        <w:t>（4）偿还情况：</w:t>
      </w:r>
      <w:r>
        <w:rPr>
          <w:rFonts w:hint="eastAsia" w:ascii="仿宋" w:hAnsi="仿宋" w:eastAsia="仿宋" w:cs="仿宋"/>
          <w:color w:val="000000"/>
          <w:sz w:val="32"/>
          <w:szCs w:val="32"/>
          <w:highlight w:val="none"/>
          <w:shd w:val="clear" w:fill="FFFFFF"/>
          <w:lang w:val="en-US" w:eastAsia="zh-CN"/>
        </w:rPr>
        <w:t>我区</w:t>
      </w:r>
      <w:r>
        <w:rPr>
          <w:rFonts w:hint="eastAsia" w:ascii="仿宋" w:hAnsi="仿宋" w:eastAsia="仿宋" w:cs="仿宋"/>
          <w:color w:val="000000"/>
          <w:sz w:val="32"/>
          <w:szCs w:val="32"/>
          <w:highlight w:val="none"/>
          <w:shd w:val="clear" w:fill="FFFFFF"/>
        </w:rPr>
        <w:t>偿还政府债务</w:t>
      </w:r>
      <w:r>
        <w:rPr>
          <w:rFonts w:hint="eastAsia" w:ascii="仿宋" w:hAnsi="仿宋" w:eastAsia="仿宋" w:cs="仿宋"/>
          <w:color w:val="000000"/>
          <w:sz w:val="32"/>
          <w:szCs w:val="32"/>
          <w:highlight w:val="none"/>
          <w:shd w:val="clear" w:fill="FFFFFF"/>
          <w:lang w:val="en-US" w:eastAsia="zh-CN"/>
        </w:rPr>
        <w:t>0.75</w:t>
      </w:r>
      <w:r>
        <w:rPr>
          <w:rFonts w:hint="eastAsia" w:ascii="仿宋" w:hAnsi="仿宋" w:eastAsia="仿宋" w:cs="仿宋"/>
          <w:color w:val="000000"/>
          <w:sz w:val="32"/>
          <w:szCs w:val="32"/>
          <w:highlight w:val="none"/>
          <w:shd w:val="clear" w:fill="FFFFFF"/>
        </w:rPr>
        <w:t>亿元，其中：一般债务还本</w:t>
      </w:r>
      <w:r>
        <w:rPr>
          <w:rFonts w:hint="eastAsia" w:ascii="仿宋" w:hAnsi="仿宋" w:eastAsia="仿宋" w:cs="仿宋"/>
          <w:color w:val="000000"/>
          <w:sz w:val="32"/>
          <w:szCs w:val="32"/>
          <w:highlight w:val="none"/>
          <w:shd w:val="clear" w:fill="FFFFFF"/>
          <w:lang w:val="en-US" w:eastAsia="zh-CN"/>
        </w:rPr>
        <w:t xml:space="preserve"> 0.58</w:t>
      </w:r>
      <w:r>
        <w:rPr>
          <w:rFonts w:hint="eastAsia" w:ascii="仿宋" w:hAnsi="仿宋" w:eastAsia="仿宋" w:cs="仿宋"/>
          <w:color w:val="000000"/>
          <w:sz w:val="32"/>
          <w:szCs w:val="32"/>
          <w:highlight w:val="none"/>
          <w:shd w:val="clear" w:fill="FFFFFF"/>
        </w:rPr>
        <w:t>亿元，专项债务还本</w:t>
      </w:r>
      <w:r>
        <w:rPr>
          <w:rFonts w:hint="eastAsia" w:ascii="仿宋" w:hAnsi="仿宋" w:eastAsia="仿宋" w:cs="仿宋"/>
          <w:color w:val="000000"/>
          <w:sz w:val="32"/>
          <w:szCs w:val="32"/>
          <w:highlight w:val="none"/>
          <w:shd w:val="clear" w:fill="FFFFFF"/>
          <w:lang w:val="en-US" w:eastAsia="zh-CN"/>
        </w:rPr>
        <w:t>0.17</w:t>
      </w:r>
      <w:r>
        <w:rPr>
          <w:rFonts w:hint="eastAsia" w:ascii="仿宋" w:hAnsi="仿宋" w:eastAsia="仿宋" w:cs="仿宋"/>
          <w:color w:val="000000"/>
          <w:sz w:val="32"/>
          <w:szCs w:val="32"/>
          <w:highlight w:val="none"/>
          <w:shd w:val="clear" w:fill="FFFFFF"/>
        </w:rPr>
        <w:t>亿元。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 w:hAnsi="仿宋" w:eastAsia="仿宋" w:cs="仿宋"/>
          <w:b w:val="0"/>
          <w:bCs w:val="0"/>
          <w:color w:val="auto"/>
          <w:kern w:val="2"/>
          <w:sz w:val="32"/>
          <w:szCs w:val="32"/>
          <w:u w:val="none"/>
          <w:shd w:val="clear" w:color="auto" w:fill="auto"/>
          <w:lang w:val="en-US" w:eastAsia="zh-CN" w:bidi="ar-SA"/>
        </w:rPr>
      </w:pPr>
      <w:r>
        <w:rPr>
          <w:rFonts w:hint="eastAsia" w:ascii="仿宋" w:hAnsi="仿宋" w:eastAsia="仿宋" w:cs="仿宋"/>
          <w:b w:val="0"/>
          <w:bCs w:val="0"/>
          <w:snapToGrid w:val="0"/>
          <w:color w:val="auto"/>
          <w:sz w:val="32"/>
          <w:szCs w:val="32"/>
          <w:highlight w:val="none"/>
        </w:rPr>
        <w:t>以上是全区20</w:t>
      </w:r>
      <w:r>
        <w:rPr>
          <w:rFonts w:hint="eastAsia" w:ascii="仿宋" w:hAnsi="仿宋" w:eastAsia="仿宋" w:cs="仿宋"/>
          <w:b w:val="0"/>
          <w:bCs w:val="0"/>
          <w:snapToGrid w:val="0"/>
          <w:color w:val="auto"/>
          <w:sz w:val="32"/>
          <w:szCs w:val="32"/>
          <w:highlight w:val="none"/>
          <w:lang w:val="en-US" w:eastAsia="zh-CN"/>
        </w:rPr>
        <w:t>21</w:t>
      </w:r>
      <w:r>
        <w:rPr>
          <w:rFonts w:hint="eastAsia" w:ascii="仿宋" w:hAnsi="仿宋" w:eastAsia="仿宋" w:cs="仿宋"/>
          <w:b w:val="0"/>
          <w:bCs w:val="0"/>
          <w:snapToGrid w:val="0"/>
          <w:color w:val="auto"/>
          <w:sz w:val="32"/>
          <w:szCs w:val="32"/>
          <w:highlight w:val="none"/>
        </w:rPr>
        <w:t>年财政</w:t>
      </w:r>
      <w:r>
        <w:rPr>
          <w:rFonts w:hint="eastAsia" w:ascii="仿宋" w:hAnsi="仿宋" w:eastAsia="仿宋" w:cs="仿宋"/>
          <w:b w:val="0"/>
          <w:bCs w:val="0"/>
          <w:snapToGrid w:val="0"/>
          <w:color w:val="auto"/>
          <w:sz w:val="32"/>
          <w:szCs w:val="32"/>
          <w:highlight w:val="none"/>
          <w:lang w:val="en-US" w:eastAsia="zh-CN"/>
        </w:rPr>
        <w:t>运行情况</w:t>
      </w:r>
      <w:r>
        <w:rPr>
          <w:rFonts w:hint="eastAsia" w:ascii="仿宋" w:hAnsi="仿宋" w:eastAsia="仿宋" w:cs="仿宋"/>
          <w:b w:val="0"/>
          <w:bCs w:val="0"/>
          <w:snapToGrid w:val="0"/>
          <w:color w:val="auto"/>
          <w:sz w:val="32"/>
          <w:szCs w:val="32"/>
          <w:highlight w:val="none"/>
        </w:rPr>
        <w:t>，年度决算编制完成后还会有少许变动，待决算编制完成经市</w:t>
      </w:r>
      <w:r>
        <w:rPr>
          <w:rFonts w:hint="eastAsia" w:ascii="仿宋" w:hAnsi="仿宋" w:eastAsia="仿宋" w:cs="仿宋"/>
          <w:b w:val="0"/>
          <w:bCs w:val="0"/>
          <w:snapToGrid w:val="0"/>
          <w:color w:val="auto"/>
          <w:sz w:val="32"/>
          <w:szCs w:val="32"/>
          <w:highlight w:val="none"/>
          <w:lang w:val="en-US" w:eastAsia="zh-CN"/>
        </w:rPr>
        <w:t>财政</w:t>
      </w:r>
      <w:r>
        <w:rPr>
          <w:rFonts w:hint="eastAsia" w:ascii="仿宋" w:hAnsi="仿宋" w:eastAsia="仿宋" w:cs="仿宋"/>
          <w:b w:val="0"/>
          <w:bCs w:val="0"/>
          <w:snapToGrid w:val="0"/>
          <w:color w:val="auto"/>
          <w:sz w:val="32"/>
          <w:szCs w:val="32"/>
          <w:highlight w:val="none"/>
        </w:rPr>
        <w:t>批复后，再向区人大常委会详细报告。</w:t>
      </w:r>
    </w:p>
    <w:p>
      <w:pPr>
        <w:keepNext w:val="0"/>
        <w:keepLines w:val="0"/>
        <w:pageBreakBefore w:val="0"/>
        <w:kinsoku/>
        <w:wordWrap/>
        <w:overflowPunct/>
        <w:topLinePunct w:val="0"/>
        <w:autoSpaceDE/>
        <w:autoSpaceDN/>
        <w:bidi w:val="0"/>
        <w:adjustRightInd/>
        <w:snapToGrid/>
        <w:spacing w:line="560" w:lineRule="exact"/>
        <w:ind w:left="4" w:leftChars="2" w:firstLine="640" w:firstLineChars="200"/>
        <w:textAlignment w:val="auto"/>
        <w:rPr>
          <w:rFonts w:hint="default" w:ascii="仿宋" w:hAnsi="仿宋" w:eastAsia="仿宋" w:cs="仿宋"/>
          <w:b w:val="0"/>
          <w:bCs w:val="0"/>
          <w:color w:val="auto"/>
          <w:kern w:val="2"/>
          <w:sz w:val="32"/>
          <w:szCs w:val="32"/>
          <w:u w:val="none"/>
          <w:shd w:val="clear" w:color="auto" w:fill="auto"/>
          <w:lang w:val="en-US" w:eastAsia="zh-CN" w:bidi="ar-SA"/>
        </w:rPr>
      </w:pPr>
      <w:r>
        <w:rPr>
          <w:rFonts w:hint="eastAsia" w:ascii="仿宋" w:hAnsi="仿宋" w:eastAsia="仿宋" w:cs="仿宋"/>
          <w:b w:val="0"/>
          <w:bCs w:val="0"/>
          <w:color w:val="auto"/>
          <w:kern w:val="2"/>
          <w:sz w:val="32"/>
          <w:szCs w:val="32"/>
          <w:u w:val="none"/>
          <w:shd w:val="clear" w:color="auto" w:fill="auto"/>
          <w:lang w:val="en-US" w:eastAsia="zh-CN" w:bidi="ar-SA"/>
        </w:rPr>
        <w:t>2021年，全区财政工作有序推进，但我们也清醒地认识到当前财政运行面临前所未有的矛盾和困难。</w:t>
      </w:r>
      <w:r>
        <w:rPr>
          <w:rFonts w:hint="eastAsia" w:ascii="仿宋" w:hAnsi="仿宋" w:eastAsia="仿宋" w:cs="仿宋"/>
          <w:b/>
          <w:bCs/>
          <w:color w:val="auto"/>
          <w:kern w:val="2"/>
          <w:sz w:val="32"/>
          <w:szCs w:val="32"/>
          <w:u w:val="none"/>
          <w:shd w:val="clear" w:color="auto" w:fill="auto"/>
          <w:lang w:val="en-US" w:eastAsia="zh-CN" w:bidi="ar-SA"/>
        </w:rPr>
        <w:t>一是税收形势非常严峻。</w:t>
      </w:r>
      <w:r>
        <w:rPr>
          <w:rFonts w:hint="eastAsia" w:ascii="仿宋" w:hAnsi="仿宋" w:eastAsia="仿宋" w:cs="仿宋"/>
          <w:sz w:val="32"/>
          <w:szCs w:val="32"/>
          <w:shd w:val="clear" w:color="auto" w:fill="FFFFFF"/>
          <w:lang w:val="en-US"/>
        </w:rPr>
        <w:t>房地产、建筑业是我区的主要税源，高峰时占财政总收入超过70%，近年来一直呈下降的态势。尤其是今年以来，房地产市场受政策调整和市场波动影响，收入下降更加明显。</w:t>
      </w:r>
      <w:r>
        <w:rPr>
          <w:rFonts w:hint="eastAsia" w:ascii="仿宋" w:hAnsi="仿宋" w:eastAsia="仿宋" w:cs="仿宋"/>
          <w:b/>
          <w:bCs/>
          <w:color w:val="auto"/>
          <w:kern w:val="2"/>
          <w:sz w:val="32"/>
          <w:szCs w:val="32"/>
          <w:u w:val="none"/>
          <w:shd w:val="clear" w:color="auto" w:fill="auto"/>
          <w:lang w:val="en-US" w:eastAsia="zh-CN" w:bidi="ar-SA"/>
        </w:rPr>
        <w:t>二是产业结构相对单一。</w:t>
      </w:r>
      <w:r>
        <w:rPr>
          <w:rFonts w:hint="eastAsia" w:ascii="仿宋" w:hAnsi="仿宋" w:eastAsia="仿宋" w:cs="仿宋"/>
          <w:b w:val="0"/>
          <w:bCs w:val="0"/>
          <w:color w:val="auto"/>
          <w:kern w:val="2"/>
          <w:sz w:val="32"/>
          <w:szCs w:val="32"/>
          <w:u w:val="none"/>
          <w:shd w:val="clear" w:color="auto" w:fill="auto"/>
          <w:lang w:val="en-US" w:eastAsia="zh-CN" w:bidi="ar-SA"/>
        </w:rPr>
        <w:t>目前我区经济总量还不大，产业结构还不优，造成我区税收对房地产和建安行业依赖性非常大，收入增长存在不确定性。</w:t>
      </w:r>
      <w:r>
        <w:rPr>
          <w:rFonts w:hint="eastAsia" w:ascii="仿宋" w:hAnsi="仿宋" w:eastAsia="仿宋" w:cs="仿宋"/>
          <w:b/>
          <w:bCs/>
          <w:color w:val="auto"/>
          <w:kern w:val="2"/>
          <w:sz w:val="32"/>
          <w:szCs w:val="32"/>
          <w:u w:val="none"/>
          <w:shd w:val="clear" w:color="auto" w:fill="auto"/>
          <w:lang w:val="en-US" w:eastAsia="zh-CN" w:bidi="ar-SA"/>
        </w:rPr>
        <w:t>三是支出压力明显增加。</w:t>
      </w:r>
      <w:r>
        <w:rPr>
          <w:rFonts w:hint="eastAsia" w:ascii="仿宋" w:hAnsi="仿宋" w:eastAsia="仿宋" w:cs="仿宋"/>
          <w:b w:val="0"/>
          <w:bCs w:val="0"/>
          <w:color w:val="auto"/>
          <w:kern w:val="2"/>
          <w:sz w:val="32"/>
          <w:szCs w:val="32"/>
          <w:u w:val="none"/>
          <w:shd w:val="clear" w:color="auto" w:fill="auto"/>
          <w:lang w:val="en-US" w:eastAsia="zh-CN" w:bidi="ar-SA"/>
        </w:rPr>
        <w:t>全区重大重点项目、农村还建房回购、城乡基础设施建设和各项民生支出均需要财力保障，财政支出压力越来越大。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Calibri" w:hAnsi="Calibri" w:cs="Calibri"/>
          <w:b/>
          <w:bCs/>
          <w:i w:val="0"/>
          <w:iCs w:val="0"/>
          <w:caps w:val="0"/>
          <w:color w:val="000000" w:themeColor="text1"/>
          <w:spacing w:val="0"/>
          <w:sz w:val="32"/>
          <w:szCs w:val="32"/>
          <w14:textFill>
            <w14:solidFill>
              <w14:schemeClr w14:val="tx1"/>
            </w14:solidFill>
          </w14:textFill>
        </w:rPr>
      </w:pPr>
      <w:r>
        <w:rPr>
          <w:rFonts w:hint="eastAsia" w:ascii="黑体" w:hAnsi="宋体" w:eastAsia="黑体" w:cs="黑体"/>
          <w:b/>
          <w:bCs/>
          <w:i w:val="0"/>
          <w:iCs w:val="0"/>
          <w:caps w:val="0"/>
          <w:color w:val="000000" w:themeColor="text1"/>
          <w:spacing w:val="0"/>
          <w:sz w:val="32"/>
          <w:szCs w:val="32"/>
          <w:shd w:val="clear" w:fill="FFFFFF"/>
          <w14:textFill>
            <w14:solidFill>
              <w14:schemeClr w14:val="tx1"/>
            </w14:solidFill>
          </w14:textFill>
        </w:rPr>
        <w:t>二、</w:t>
      </w:r>
      <w:r>
        <w:rPr>
          <w:rFonts w:hint="eastAsia" w:ascii="微软雅黑" w:hAnsi="微软雅黑" w:eastAsia="微软雅黑" w:cs="微软雅黑"/>
          <w:b/>
          <w:bCs/>
          <w:i w:val="0"/>
          <w:iCs w:val="0"/>
          <w:caps w:val="0"/>
          <w:color w:val="000000" w:themeColor="text1"/>
          <w:spacing w:val="0"/>
          <w:sz w:val="32"/>
          <w:szCs w:val="32"/>
          <w:shd w:val="clear" w:fill="FFFFFF"/>
          <w14:textFill>
            <w14:solidFill>
              <w14:schemeClr w14:val="tx1"/>
            </w14:solidFill>
          </w14:textFill>
        </w:rPr>
        <w:t>202</w:t>
      </w:r>
      <w:r>
        <w:rPr>
          <w:rFonts w:hint="eastAsia" w:ascii="微软雅黑" w:hAnsi="微软雅黑" w:eastAsia="微软雅黑" w:cs="微软雅黑"/>
          <w:b/>
          <w:bCs/>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黑体" w:hAnsi="宋体" w:eastAsia="黑体" w:cs="黑体"/>
          <w:b/>
          <w:bCs/>
          <w:i w:val="0"/>
          <w:iCs w:val="0"/>
          <w:caps w:val="0"/>
          <w:color w:val="000000" w:themeColor="text1"/>
          <w:spacing w:val="0"/>
          <w:sz w:val="32"/>
          <w:szCs w:val="32"/>
          <w:shd w:val="clear" w:fill="FFFFFF"/>
          <w14:textFill>
            <w14:solidFill>
              <w14:schemeClr w14:val="tx1"/>
            </w14:solidFill>
          </w14:textFill>
        </w:rPr>
        <w:t>年</w:t>
      </w:r>
      <w:r>
        <w:rPr>
          <w:rFonts w:hint="eastAsia" w:ascii="黑体" w:hAnsi="宋体" w:eastAsia="黑体" w:cs="黑体"/>
          <w:b/>
          <w:bCs/>
          <w:i w:val="0"/>
          <w:iCs w:val="0"/>
          <w:caps w:val="0"/>
          <w:color w:val="000000" w:themeColor="text1"/>
          <w:spacing w:val="0"/>
          <w:sz w:val="32"/>
          <w:szCs w:val="32"/>
          <w:shd w:val="clear" w:fill="FFFFFF"/>
          <w:lang w:val="en-US" w:eastAsia="zh-CN"/>
          <w14:textFill>
            <w14:solidFill>
              <w14:schemeClr w14:val="tx1"/>
            </w14:solidFill>
          </w14:textFill>
        </w:rPr>
        <w:t>财政工作思路和</w:t>
      </w:r>
      <w:r>
        <w:rPr>
          <w:rFonts w:hint="eastAsia" w:ascii="黑体" w:hAnsi="宋体" w:eastAsia="黑体" w:cs="黑体"/>
          <w:b/>
          <w:bCs/>
          <w:i w:val="0"/>
          <w:iCs w:val="0"/>
          <w:caps w:val="0"/>
          <w:color w:val="000000" w:themeColor="text1"/>
          <w:spacing w:val="0"/>
          <w:sz w:val="32"/>
          <w:szCs w:val="32"/>
          <w:shd w:val="clear" w:fill="FFFFFF"/>
          <w14:textFill>
            <w14:solidFill>
              <w14:schemeClr w14:val="tx1"/>
            </w14:solidFill>
          </w14:textFill>
        </w:rPr>
        <w:t>财政总预算草案</w:t>
      </w:r>
    </w:p>
    <w:p>
      <w:pPr>
        <w:keepNext w:val="0"/>
        <w:keepLines w:val="0"/>
        <w:pageBreakBefore w:val="0"/>
        <w:widowControl/>
        <w:suppressLineNumbers w:val="0"/>
        <w:kinsoku/>
        <w:wordWrap/>
        <w:overflowPunct/>
        <w:topLinePunct w:val="0"/>
        <w:bidi w:val="0"/>
        <w:adjustRightInd/>
        <w:snapToGrid/>
        <w:spacing w:line="560" w:lineRule="exact"/>
        <w:ind w:firstLine="643" w:firstLineChars="200"/>
        <w:jc w:val="left"/>
        <w:textAlignment w:val="auto"/>
        <w:rPr>
          <w:rFonts w:hint="eastAsia" w:ascii="仿宋" w:hAnsi="仿宋" w:eastAsia="仿宋" w:cs="仿宋"/>
          <w:b/>
          <w:bCs/>
          <w:color w:val="auto"/>
          <w:kern w:val="2"/>
          <w:sz w:val="32"/>
          <w:szCs w:val="32"/>
          <w:u w:val="none"/>
          <w:shd w:val="clear" w:color="auto" w:fill="auto"/>
          <w:lang w:val="en-US" w:eastAsia="zh-CN" w:bidi="ar-SA"/>
        </w:rPr>
      </w:pPr>
      <w:r>
        <w:rPr>
          <w:rFonts w:hint="eastAsia" w:ascii="仿宋" w:hAnsi="仿宋" w:eastAsia="仿宋" w:cs="仿宋"/>
          <w:b/>
          <w:bCs/>
          <w:color w:val="auto"/>
          <w:kern w:val="2"/>
          <w:sz w:val="32"/>
          <w:szCs w:val="32"/>
          <w:u w:val="none"/>
          <w:shd w:val="clear" w:color="auto" w:fill="auto"/>
          <w:lang w:val="en-US" w:eastAsia="zh-CN" w:bidi="ar-SA"/>
        </w:rPr>
        <w:t>2022年全区财政工作指导思想是：坚持以习近平新时代中国特色社会主义思想为指导，深入学习贯彻党的十九大和十九届二中、三中、四中、五中、六中全会以及中央经济工作会议、全省经济工作会议精神，全面落实区委、区政府“产业强区、品质提升、创新驱动、内外开放、要素保障、共建共享”六大战略部署，以收定支、量力而行，加大优化财政支出结构力度，切实保障重点支出；推进财政资金高效使用，强化实施预算绩效管理，严格执行预算公开，完善现代财政制度，为我区“全面建设社会主义现代化红谷滩”续写高质量发展新篇章作出财政贡献。</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根据上述指导思想，结合全区经济发展计划及财力情况，20</w:t>
      </w:r>
      <w:r>
        <w:rPr>
          <w:rFonts w:hint="eastAsia" w:ascii="仿宋" w:hAnsi="仿宋" w:eastAsia="仿宋" w:cs="仿宋"/>
          <w:color w:val="auto"/>
          <w:sz w:val="32"/>
          <w:szCs w:val="32"/>
          <w:highlight w:val="none"/>
          <w:lang w:val="en-US" w:eastAsia="zh-CN"/>
        </w:rPr>
        <w:t>22</w:t>
      </w:r>
      <w:r>
        <w:rPr>
          <w:rFonts w:hint="eastAsia" w:ascii="仿宋" w:hAnsi="仿宋" w:eastAsia="仿宋" w:cs="仿宋"/>
          <w:color w:val="auto"/>
          <w:sz w:val="32"/>
          <w:szCs w:val="32"/>
          <w:highlight w:val="none"/>
        </w:rPr>
        <w:t>年预算拟作如下安排：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color w:val="auto"/>
          <w:sz w:val="32"/>
          <w:szCs w:val="32"/>
          <w:highlight w:val="none"/>
        </w:rPr>
      </w:pPr>
      <w:r>
        <w:rPr>
          <w:rFonts w:hint="eastAsia" w:ascii="仿宋" w:hAnsi="仿宋" w:eastAsia="仿宋" w:cs="仿宋"/>
          <w:b/>
          <w:bCs/>
          <w:color w:val="auto"/>
          <w:kern w:val="2"/>
          <w:sz w:val="32"/>
          <w:szCs w:val="32"/>
          <w:u w:val="none"/>
          <w:shd w:val="clear" w:color="auto" w:fill="auto"/>
          <w:lang w:val="en-US" w:eastAsia="zh-CN" w:bidi="ar-SA"/>
        </w:rPr>
        <w:t>（一）一般预算安排情况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val="0"/>
          <w:bCs w:val="0"/>
          <w:color w:val="auto"/>
          <w:kern w:val="2"/>
          <w:sz w:val="32"/>
          <w:szCs w:val="32"/>
          <w:u w:val="none"/>
          <w:shd w:val="clear" w:color="auto" w:fill="auto"/>
          <w:lang w:val="en-US" w:eastAsia="zh-CN" w:bidi="ar-SA"/>
        </w:rPr>
      </w:pPr>
      <w:r>
        <w:rPr>
          <w:rFonts w:hint="eastAsia" w:ascii="仿宋" w:hAnsi="仿宋" w:eastAsia="仿宋" w:cs="仿宋"/>
          <w:b/>
          <w:color w:val="auto"/>
          <w:sz w:val="32"/>
          <w:szCs w:val="32"/>
          <w:highlight w:val="none"/>
        </w:rPr>
        <w:t>20</w:t>
      </w:r>
      <w:r>
        <w:rPr>
          <w:rFonts w:hint="eastAsia" w:ascii="仿宋" w:hAnsi="仿宋" w:eastAsia="仿宋" w:cs="仿宋"/>
          <w:b/>
          <w:color w:val="auto"/>
          <w:sz w:val="32"/>
          <w:szCs w:val="32"/>
          <w:highlight w:val="none"/>
          <w:lang w:val="en-US" w:eastAsia="zh-CN"/>
        </w:rPr>
        <w:t>22</w:t>
      </w:r>
      <w:r>
        <w:rPr>
          <w:rFonts w:hint="eastAsia" w:ascii="仿宋" w:hAnsi="仿宋" w:eastAsia="仿宋" w:cs="仿宋"/>
          <w:b/>
          <w:color w:val="auto"/>
          <w:sz w:val="32"/>
          <w:szCs w:val="32"/>
          <w:highlight w:val="none"/>
        </w:rPr>
        <w:t>年全区</w:t>
      </w:r>
      <w:r>
        <w:rPr>
          <w:rFonts w:hint="eastAsia" w:ascii="仿宋" w:hAnsi="仿宋" w:eastAsia="仿宋" w:cs="仿宋"/>
          <w:b/>
          <w:color w:val="auto"/>
          <w:sz w:val="32"/>
          <w:szCs w:val="32"/>
          <w:highlight w:val="none"/>
          <w:lang w:eastAsia="zh-CN"/>
        </w:rPr>
        <w:t>地方一般公共预算收入</w:t>
      </w:r>
      <w:r>
        <w:rPr>
          <w:rFonts w:hint="eastAsia" w:ascii="仿宋" w:hAnsi="仿宋" w:eastAsia="仿宋" w:cs="仿宋"/>
          <w:b/>
          <w:color w:val="auto"/>
          <w:sz w:val="32"/>
          <w:szCs w:val="32"/>
          <w:highlight w:val="none"/>
        </w:rPr>
        <w:t>拟安排</w:t>
      </w:r>
      <w:r>
        <w:rPr>
          <w:rFonts w:hint="eastAsia" w:ascii="仿宋" w:hAnsi="仿宋" w:eastAsia="仿宋" w:cs="仿宋"/>
          <w:b/>
          <w:color w:val="auto"/>
          <w:sz w:val="32"/>
          <w:szCs w:val="32"/>
          <w:highlight w:val="none"/>
          <w:lang w:val="en-US" w:eastAsia="zh-CN"/>
        </w:rPr>
        <w:t>36.61</w:t>
      </w:r>
      <w:r>
        <w:rPr>
          <w:rFonts w:hint="eastAsia" w:ascii="仿宋" w:hAnsi="仿宋" w:eastAsia="仿宋" w:cs="仿宋"/>
          <w:b/>
          <w:bCs/>
          <w:color w:val="auto"/>
          <w:sz w:val="32"/>
          <w:szCs w:val="32"/>
          <w:highlight w:val="none"/>
          <w:lang w:val="en-US" w:eastAsia="zh-CN"/>
        </w:rPr>
        <w:t>亿</w:t>
      </w:r>
      <w:r>
        <w:rPr>
          <w:rFonts w:hint="eastAsia" w:ascii="仿宋" w:hAnsi="仿宋" w:eastAsia="仿宋" w:cs="仿宋"/>
          <w:b/>
          <w:bCs/>
          <w:color w:val="auto"/>
          <w:sz w:val="32"/>
          <w:szCs w:val="32"/>
          <w:highlight w:val="none"/>
        </w:rPr>
        <w:t>元</w:t>
      </w:r>
      <w:r>
        <w:rPr>
          <w:rFonts w:hint="eastAsia" w:ascii="仿宋" w:hAnsi="仿宋" w:eastAsia="仿宋" w:cs="仿宋"/>
          <w:color w:val="auto"/>
          <w:sz w:val="32"/>
          <w:szCs w:val="32"/>
          <w:highlight w:val="none"/>
        </w:rPr>
        <w:t>，比20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年完成数</w:t>
      </w:r>
      <w:r>
        <w:rPr>
          <w:rFonts w:hint="eastAsia" w:ascii="仿宋" w:hAnsi="仿宋" w:eastAsia="仿宋" w:cs="仿宋"/>
          <w:color w:val="auto"/>
          <w:sz w:val="32"/>
          <w:szCs w:val="32"/>
          <w:highlight w:val="none"/>
          <w:lang w:val="en-US" w:eastAsia="zh-CN"/>
        </w:rPr>
        <w:t>34.21亿</w:t>
      </w:r>
      <w:r>
        <w:rPr>
          <w:rFonts w:hint="eastAsia" w:ascii="仿宋" w:hAnsi="仿宋" w:eastAsia="仿宋" w:cs="仿宋"/>
          <w:color w:val="auto"/>
          <w:sz w:val="32"/>
          <w:szCs w:val="32"/>
          <w:highlight w:val="none"/>
        </w:rPr>
        <w:t>元增长</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%。其中：</w:t>
      </w:r>
      <w:r>
        <w:rPr>
          <w:rFonts w:hint="eastAsia" w:ascii="仿宋" w:hAnsi="仿宋" w:eastAsia="仿宋" w:cs="仿宋"/>
          <w:color w:val="auto"/>
          <w:sz w:val="32"/>
          <w:szCs w:val="32"/>
          <w:highlight w:val="none"/>
          <w:lang w:eastAsia="zh-CN"/>
        </w:rPr>
        <w:t>税务</w:t>
      </w:r>
      <w:r>
        <w:rPr>
          <w:rFonts w:hint="eastAsia" w:ascii="仿宋" w:hAnsi="仿宋" w:eastAsia="仿宋" w:cs="仿宋"/>
          <w:color w:val="auto"/>
          <w:sz w:val="32"/>
          <w:szCs w:val="32"/>
          <w:highlight w:val="none"/>
        </w:rPr>
        <w:t>部门拟安排</w:t>
      </w:r>
      <w:r>
        <w:rPr>
          <w:rFonts w:hint="eastAsia" w:ascii="仿宋" w:hAnsi="仿宋" w:eastAsia="仿宋" w:cs="仿宋"/>
          <w:color w:val="auto"/>
          <w:sz w:val="32"/>
          <w:szCs w:val="32"/>
          <w:highlight w:val="none"/>
          <w:lang w:val="en-US" w:eastAsia="zh-CN"/>
        </w:rPr>
        <w:t>31.61亿</w:t>
      </w:r>
      <w:r>
        <w:rPr>
          <w:rFonts w:hint="eastAsia" w:ascii="仿宋" w:hAnsi="仿宋" w:eastAsia="仿宋" w:cs="仿宋"/>
          <w:color w:val="auto"/>
          <w:sz w:val="32"/>
          <w:szCs w:val="32"/>
          <w:highlight w:val="none"/>
        </w:rPr>
        <w:t>元，比20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年完成数</w:t>
      </w:r>
      <w:r>
        <w:rPr>
          <w:rFonts w:hint="eastAsia" w:ascii="仿宋" w:hAnsi="仿宋" w:eastAsia="仿宋" w:cs="仿宋"/>
          <w:color w:val="auto"/>
          <w:sz w:val="32"/>
          <w:szCs w:val="32"/>
          <w:highlight w:val="none"/>
          <w:lang w:eastAsia="zh-CN"/>
        </w:rPr>
        <w:t>增长</w:t>
      </w:r>
      <w:r>
        <w:rPr>
          <w:rFonts w:hint="eastAsia" w:ascii="仿宋" w:hAnsi="仿宋" w:eastAsia="仿宋" w:cs="仿宋"/>
          <w:color w:val="auto"/>
          <w:sz w:val="32"/>
          <w:szCs w:val="32"/>
          <w:highlight w:val="none"/>
          <w:lang w:val="en-US" w:eastAsia="zh-CN"/>
        </w:rPr>
        <w:t>21.82</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财政部门拟安排</w:t>
      </w:r>
      <w:r>
        <w:rPr>
          <w:rFonts w:hint="eastAsia" w:ascii="仿宋" w:hAnsi="仿宋" w:eastAsia="仿宋" w:cs="仿宋"/>
          <w:color w:val="auto"/>
          <w:sz w:val="32"/>
          <w:szCs w:val="32"/>
          <w:highlight w:val="none"/>
          <w:lang w:val="en-US" w:eastAsia="zh-CN"/>
        </w:rPr>
        <w:t>5亿</w:t>
      </w:r>
      <w:r>
        <w:rPr>
          <w:rFonts w:hint="eastAsia" w:ascii="仿宋" w:hAnsi="仿宋" w:eastAsia="仿宋" w:cs="仿宋"/>
          <w:color w:val="auto"/>
          <w:sz w:val="32"/>
          <w:szCs w:val="32"/>
          <w:highlight w:val="none"/>
        </w:rPr>
        <w:t>元，比20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年完成数</w:t>
      </w:r>
      <w:r>
        <w:rPr>
          <w:rFonts w:hint="eastAsia" w:ascii="仿宋" w:hAnsi="仿宋" w:eastAsia="仿宋" w:cs="仿宋"/>
          <w:color w:val="auto"/>
          <w:sz w:val="32"/>
          <w:szCs w:val="32"/>
          <w:highlight w:val="none"/>
          <w:lang w:val="en-US" w:eastAsia="zh-CN"/>
        </w:rPr>
        <w:t>下降39.54</w:t>
      </w:r>
      <w:r>
        <w:rPr>
          <w:rFonts w:hint="eastAsia" w:ascii="仿宋" w:hAnsi="仿宋" w:eastAsia="仿宋" w:cs="仿宋"/>
          <w:color w:val="auto"/>
          <w:sz w:val="32"/>
          <w:szCs w:val="32"/>
          <w:highlight w:val="none"/>
        </w:rPr>
        <w:t>%。</w:t>
      </w:r>
      <w:r>
        <w:rPr>
          <w:rFonts w:hint="eastAsia" w:ascii="仿宋" w:hAnsi="仿宋" w:eastAsia="仿宋" w:cs="仿宋"/>
          <w:b/>
          <w:bCs/>
          <w:color w:val="auto"/>
          <w:sz w:val="32"/>
          <w:szCs w:val="32"/>
          <w:highlight w:val="none"/>
        </w:rPr>
        <w:t>根据收入预算和现行财政体制初步测算</w:t>
      </w: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22</w:t>
      </w:r>
      <w:r>
        <w:rPr>
          <w:rFonts w:hint="eastAsia" w:ascii="仿宋" w:hAnsi="仿宋" w:eastAsia="仿宋" w:cs="仿宋"/>
          <w:color w:val="auto"/>
          <w:sz w:val="32"/>
          <w:szCs w:val="32"/>
          <w:highlight w:val="none"/>
        </w:rPr>
        <w:t>年全区</w:t>
      </w:r>
      <w:r>
        <w:rPr>
          <w:rFonts w:hint="eastAsia" w:ascii="仿宋" w:hAnsi="仿宋" w:eastAsia="仿宋" w:cs="仿宋"/>
          <w:b w:val="0"/>
          <w:bCs w:val="0"/>
          <w:color w:val="auto"/>
          <w:kern w:val="2"/>
          <w:sz w:val="32"/>
          <w:szCs w:val="32"/>
          <w:u w:val="none"/>
          <w:shd w:val="clear" w:color="auto" w:fill="auto"/>
          <w:lang w:val="en-US" w:eastAsia="zh-CN" w:bidi="ar-SA"/>
        </w:rPr>
        <w:t>一般公共预算收入36.61亿元，加上返还性收入7.5亿元、一般转移支付收入2.1亿元，动用预算稳定调节基金25亿元，上年结余0.26亿元，减去上解上级支出3.8亿元，调出资金17亿元，当年可用财力预计50.77亿元。根据收支平衡原则，2022年拟安排一般公共预算支出50.42亿元。具体安排情况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val="0"/>
          <w:color w:val="auto"/>
          <w:kern w:val="2"/>
          <w:sz w:val="32"/>
          <w:szCs w:val="32"/>
          <w:u w:val="none"/>
          <w:shd w:val="clear" w:color="auto" w:fill="auto"/>
          <w:lang w:val="en-US" w:eastAsia="zh-CN" w:bidi="ar-SA"/>
        </w:rPr>
      </w:pPr>
      <w:r>
        <w:rPr>
          <w:rFonts w:hint="eastAsia" w:ascii="仿宋" w:hAnsi="仿宋" w:eastAsia="仿宋" w:cs="仿宋"/>
          <w:b w:val="0"/>
          <w:bCs w:val="0"/>
          <w:color w:val="auto"/>
          <w:kern w:val="2"/>
          <w:sz w:val="32"/>
          <w:szCs w:val="32"/>
          <w:u w:val="none"/>
          <w:shd w:val="clear" w:color="auto" w:fill="auto"/>
          <w:lang w:val="en-US" w:eastAsia="zh-CN" w:bidi="ar-SA"/>
        </w:rPr>
        <w:t>一般公共服务支出66279万元,国防支出805万元，公共安全支出35981万元,教育支出75458万元,科学技术支出17811万元,文化旅游体育与传媒支出4665万元,社会保障和就业支出34957万元,卫生健康支出27029万元,节能环保支出12786万元,城乡社区事务支出80951万元,农林水事务支出5405万元,交通运输支出2542万元，资源勘探工业信息等支出50463万元,商业服务业等支出7460万元,金融支出539万元,自然资源海洋气象等支出100万元，住房保障支出14964万元,灾害防治及应急管理支出8545万元,预备费10000万元，其他支出42000万元，债务付息支出5445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bCs/>
          <w:color w:val="auto"/>
          <w:kern w:val="2"/>
          <w:sz w:val="32"/>
          <w:szCs w:val="32"/>
          <w:u w:val="none"/>
          <w:shd w:val="clear" w:color="auto" w:fill="auto"/>
          <w:lang w:val="en-US" w:eastAsia="zh-CN" w:bidi="ar-SA"/>
        </w:rPr>
      </w:pPr>
      <w:r>
        <w:rPr>
          <w:rFonts w:hint="eastAsia" w:ascii="仿宋" w:hAnsi="仿宋" w:eastAsia="仿宋" w:cs="仿宋"/>
          <w:b/>
          <w:bCs/>
          <w:color w:val="auto"/>
          <w:kern w:val="2"/>
          <w:sz w:val="32"/>
          <w:szCs w:val="32"/>
          <w:u w:val="none"/>
          <w:shd w:val="clear" w:color="auto" w:fill="auto"/>
          <w:lang w:val="en-US" w:eastAsia="zh-CN" w:bidi="ar-SA"/>
        </w:rPr>
        <w:t>（二）政府性基金预算安排情况</w:t>
      </w:r>
    </w:p>
    <w:p>
      <w:pPr>
        <w:numPr>
          <w:ilvl w:val="0"/>
          <w:numId w:val="0"/>
        </w:numPr>
        <w:spacing w:line="600" w:lineRule="exact"/>
        <w:ind w:firstLine="643" w:firstLineChars="200"/>
        <w:rPr>
          <w:rFonts w:hint="eastAsia" w:ascii="仿宋" w:hAnsi="仿宋" w:eastAsia="仿宋" w:cs="仿宋"/>
          <w:b w:val="0"/>
          <w:bCs w:val="0"/>
          <w:color w:val="auto"/>
          <w:kern w:val="2"/>
          <w:sz w:val="32"/>
          <w:szCs w:val="32"/>
          <w:u w:val="none"/>
          <w:shd w:val="clear" w:color="auto" w:fill="auto"/>
          <w:lang w:val="en-US" w:eastAsia="zh-CN" w:bidi="ar-SA"/>
        </w:rPr>
      </w:pPr>
      <w:r>
        <w:rPr>
          <w:rFonts w:hint="eastAsia" w:ascii="仿宋" w:hAnsi="仿宋" w:eastAsia="仿宋" w:cs="仿宋"/>
          <w:b/>
          <w:bCs/>
          <w:color w:val="auto"/>
          <w:kern w:val="2"/>
          <w:sz w:val="32"/>
          <w:szCs w:val="32"/>
          <w:u w:val="none"/>
          <w:shd w:val="clear" w:color="auto" w:fill="auto"/>
          <w:lang w:val="en-US" w:eastAsia="zh-CN" w:bidi="ar-SA"/>
        </w:rPr>
        <w:t>2022年全区政府性基金收入</w:t>
      </w:r>
      <w:r>
        <w:rPr>
          <w:rFonts w:hint="eastAsia" w:ascii="仿宋" w:hAnsi="仿宋" w:eastAsia="仿宋" w:cs="仿宋"/>
          <w:b w:val="0"/>
          <w:bCs w:val="0"/>
          <w:color w:val="auto"/>
          <w:kern w:val="2"/>
          <w:sz w:val="32"/>
          <w:szCs w:val="32"/>
          <w:u w:val="none"/>
          <w:shd w:val="clear" w:color="auto" w:fill="auto"/>
          <w:lang w:val="en-US" w:eastAsia="zh-CN" w:bidi="ar-SA"/>
        </w:rPr>
        <w:t>拟安排上级补助收入25亿元，调入资金17亿元,上年结余0.28亿元，政府性基金可用财力预计42.28亿元。根据收支平衡原则，</w:t>
      </w:r>
      <w:r>
        <w:rPr>
          <w:rFonts w:hint="eastAsia" w:ascii="仿宋" w:hAnsi="仿宋" w:eastAsia="仿宋" w:cs="仿宋"/>
          <w:b/>
          <w:bCs/>
          <w:color w:val="auto"/>
          <w:kern w:val="2"/>
          <w:sz w:val="32"/>
          <w:szCs w:val="32"/>
          <w:u w:val="none"/>
          <w:shd w:val="clear" w:color="auto" w:fill="auto"/>
          <w:lang w:val="en-US" w:eastAsia="zh-CN" w:bidi="ar-SA"/>
        </w:rPr>
        <w:t>政府性基金支出</w:t>
      </w:r>
      <w:r>
        <w:rPr>
          <w:rFonts w:hint="eastAsia" w:ascii="仿宋" w:hAnsi="仿宋" w:eastAsia="仿宋" w:cs="仿宋"/>
          <w:b w:val="0"/>
          <w:bCs w:val="0"/>
          <w:color w:val="auto"/>
          <w:kern w:val="2"/>
          <w:sz w:val="32"/>
          <w:szCs w:val="32"/>
          <w:u w:val="none"/>
          <w:shd w:val="clear" w:color="auto" w:fill="auto"/>
          <w:lang w:val="en-US" w:eastAsia="zh-CN" w:bidi="ar-SA"/>
        </w:rPr>
        <w:t>拟安排41.92亿元。支出安排情况是：拟安排国有土地使用权出让收入安排的支出41.71亿元，主要用于：征地拆迁及城市基础设施建设35.26亿元、社会事业6.45亿元；专项债付息0.21亿元。</w:t>
      </w:r>
    </w:p>
    <w:p>
      <w:pPr>
        <w:pStyle w:val="13"/>
        <w:keepNext w:val="0"/>
        <w:keepLines w:val="0"/>
        <w:pageBreakBefore w:val="0"/>
        <w:widowControl w:val="0"/>
        <w:shd w:val="clear" w:color="auto" w:fill="auto"/>
        <w:kinsoku/>
        <w:wordWrap/>
        <w:overflowPunct/>
        <w:topLinePunct w:val="0"/>
        <w:autoSpaceDE/>
        <w:autoSpaceDN/>
        <w:bidi w:val="0"/>
        <w:adjustRightInd/>
        <w:snapToGrid/>
        <w:spacing w:line="560" w:lineRule="exact"/>
        <w:ind w:left="-315" w:leftChars="-150" w:right="0" w:rightChars="0" w:firstLine="643" w:firstLineChars="200"/>
        <w:jc w:val="both"/>
        <w:textAlignment w:val="auto"/>
        <w:rPr>
          <w:rFonts w:hint="eastAsia" w:ascii="仿宋" w:hAnsi="仿宋" w:eastAsia="仿宋" w:cs="仿宋"/>
          <w:b/>
          <w:color w:val="auto"/>
          <w:kern w:val="2"/>
          <w:sz w:val="32"/>
          <w:szCs w:val="32"/>
          <w:lang w:val="en-US" w:eastAsia="zh-CN" w:bidi="ar-SA"/>
        </w:rPr>
      </w:pPr>
      <w:r>
        <w:rPr>
          <w:rFonts w:hint="eastAsia" w:ascii="仿宋" w:hAnsi="仿宋" w:eastAsia="仿宋" w:cs="仿宋"/>
          <w:b/>
          <w:color w:val="auto"/>
          <w:kern w:val="2"/>
          <w:sz w:val="32"/>
          <w:szCs w:val="32"/>
          <w:lang w:val="en-US" w:eastAsia="zh-CN" w:bidi="ar-SA"/>
        </w:rPr>
        <w:t>（三）社会保险基金预算安排情况</w:t>
      </w:r>
    </w:p>
    <w:p>
      <w:pPr>
        <w:numPr>
          <w:ilvl w:val="0"/>
          <w:numId w:val="0"/>
        </w:numPr>
        <w:spacing w:line="600" w:lineRule="exact"/>
        <w:ind w:firstLine="643" w:firstLineChars="200"/>
        <w:rPr>
          <w:rFonts w:hint="eastAsia" w:ascii="仿宋" w:hAnsi="仿宋" w:eastAsia="仿宋" w:cs="仿宋"/>
          <w:b w:val="0"/>
          <w:bCs w:val="0"/>
          <w:color w:val="auto"/>
          <w:kern w:val="2"/>
          <w:sz w:val="32"/>
          <w:szCs w:val="32"/>
          <w:u w:val="none"/>
          <w:shd w:val="clear" w:color="auto" w:fill="auto"/>
          <w:lang w:val="en-US" w:eastAsia="zh-CN" w:bidi="ar-SA"/>
        </w:rPr>
      </w:pPr>
      <w:r>
        <w:rPr>
          <w:rFonts w:hint="eastAsia" w:ascii="仿宋" w:hAnsi="仿宋" w:eastAsia="仿宋" w:cs="仿宋"/>
          <w:b/>
          <w:bCs/>
          <w:color w:val="auto"/>
          <w:kern w:val="2"/>
          <w:sz w:val="32"/>
          <w:szCs w:val="32"/>
          <w:u w:val="none"/>
          <w:shd w:val="clear" w:color="auto" w:fill="auto"/>
          <w:lang w:val="en-US" w:eastAsia="zh-CN" w:bidi="ar-SA"/>
        </w:rPr>
        <w:t>2022年全区社会保险基金预算收入</w:t>
      </w:r>
      <w:r>
        <w:rPr>
          <w:rFonts w:hint="eastAsia" w:ascii="仿宋" w:hAnsi="仿宋" w:eastAsia="仿宋" w:cs="仿宋"/>
          <w:b w:val="0"/>
          <w:bCs w:val="0"/>
          <w:color w:val="auto"/>
          <w:kern w:val="2"/>
          <w:sz w:val="32"/>
          <w:szCs w:val="32"/>
          <w:u w:val="none"/>
          <w:shd w:val="clear" w:color="auto" w:fill="auto"/>
          <w:lang w:val="en-US" w:eastAsia="zh-CN" w:bidi="ar-SA"/>
        </w:rPr>
        <w:t>拟安排4.57亿元,其中:保险费收入0.4亿元,财政补贴收入0.03亿元,利息收入0.02亿元，转移收入0.07亿元，上级补助收入4.05亿元。</w:t>
      </w:r>
      <w:r>
        <w:rPr>
          <w:rFonts w:hint="eastAsia" w:ascii="仿宋" w:hAnsi="仿宋" w:eastAsia="仿宋" w:cs="仿宋"/>
          <w:b/>
          <w:bCs/>
          <w:color w:val="auto"/>
          <w:kern w:val="2"/>
          <w:sz w:val="32"/>
          <w:szCs w:val="32"/>
          <w:u w:val="none"/>
          <w:shd w:val="clear" w:color="auto" w:fill="auto"/>
          <w:lang w:val="en-US" w:eastAsia="zh-CN" w:bidi="ar-SA"/>
        </w:rPr>
        <w:t>2022年全区社会保险基金支出</w:t>
      </w:r>
      <w:r>
        <w:rPr>
          <w:rFonts w:hint="eastAsia" w:ascii="仿宋" w:hAnsi="仿宋" w:eastAsia="仿宋" w:cs="仿宋"/>
          <w:b w:val="0"/>
          <w:bCs w:val="0"/>
          <w:color w:val="auto"/>
          <w:kern w:val="2"/>
          <w:sz w:val="32"/>
          <w:szCs w:val="32"/>
          <w:u w:val="none"/>
          <w:shd w:val="clear" w:color="auto" w:fill="auto"/>
          <w:lang w:val="en-US" w:eastAsia="zh-CN" w:bidi="ar-SA"/>
        </w:rPr>
        <w:t>拟安排4.5亿元，其中，企业职工基本养老保险基金支出拟安排3.64亿元，机关事业单位基本养老保险基金支出拟安排0.42亿元，职工基本医疗保险基金支出拟安排0.22亿元，城乡居民基本医疗保险基金支出拟安排0.21亿元，工伤保险基金支出拟安排50万元。</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default" w:ascii="仿宋" w:hAnsi="仿宋" w:eastAsia="仿宋" w:cs="仿宋"/>
          <w:b/>
          <w:bCs/>
          <w:color w:val="auto"/>
          <w:kern w:val="2"/>
          <w:sz w:val="32"/>
          <w:szCs w:val="32"/>
          <w:u w:val="none"/>
          <w:shd w:val="clear" w:color="auto" w:fill="auto"/>
          <w:lang w:val="en-US" w:eastAsia="zh-CN" w:bidi="ar-SA"/>
        </w:rPr>
      </w:pPr>
      <w:r>
        <w:rPr>
          <w:rFonts w:hint="eastAsia" w:ascii="仿宋" w:hAnsi="仿宋" w:eastAsia="仿宋" w:cs="仿宋"/>
          <w:b/>
          <w:bCs/>
          <w:color w:val="auto"/>
          <w:kern w:val="2"/>
          <w:sz w:val="32"/>
          <w:szCs w:val="32"/>
          <w:u w:val="none"/>
          <w:shd w:val="clear" w:color="auto" w:fill="auto"/>
          <w:lang w:val="en-US" w:eastAsia="zh-CN" w:bidi="ar-SA"/>
        </w:rPr>
        <w:t>（四）国有资本经营预算安排情况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 w:hAnsi="仿宋" w:eastAsia="仿宋" w:cs="仿宋"/>
          <w:b w:val="0"/>
          <w:bCs w:val="0"/>
          <w:color w:val="000000" w:themeColor="text1"/>
          <w:kern w:val="2"/>
          <w:sz w:val="32"/>
          <w:szCs w:val="32"/>
          <w:u w:val="none"/>
          <w:shd w:val="clear" w:color="auto" w:fill="auto"/>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u w:val="none"/>
          <w:shd w:val="clear" w:color="auto" w:fill="auto"/>
          <w:lang w:val="en-US" w:eastAsia="zh-CN" w:bidi="ar-SA"/>
          <w14:textFill>
            <w14:solidFill>
              <w14:schemeClr w14:val="tx1"/>
            </w14:solidFill>
          </w14:textFill>
        </w:rPr>
        <w:t>2022年我区国有资本经营预算收入拟安排10.02万元，为上年结转收入，2022年国有资本经营预算支出拟安排10.02万元。收支相抵，结余为零。</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 w:hAnsi="仿宋" w:eastAsia="仿宋" w:cs="仿宋"/>
          <w:b/>
          <w:bCs/>
          <w:color w:val="auto"/>
          <w:kern w:val="2"/>
          <w:sz w:val="32"/>
          <w:szCs w:val="32"/>
          <w:u w:val="none"/>
          <w:shd w:val="clear" w:color="auto" w:fill="auto"/>
          <w:lang w:val="en-US" w:eastAsia="zh-CN" w:bidi="ar-SA"/>
        </w:rPr>
      </w:pPr>
      <w:r>
        <w:rPr>
          <w:rFonts w:hint="eastAsia" w:ascii="仿宋" w:hAnsi="仿宋" w:eastAsia="仿宋" w:cs="仿宋"/>
          <w:b/>
          <w:bCs/>
          <w:color w:val="auto"/>
          <w:kern w:val="2"/>
          <w:sz w:val="32"/>
          <w:szCs w:val="32"/>
          <w:u w:val="none"/>
          <w:shd w:val="clear" w:color="auto" w:fill="auto"/>
          <w:lang w:val="en-US" w:eastAsia="zh-CN" w:bidi="ar-SA"/>
        </w:rPr>
        <w:t>（五）重点审议单位区民政局预算安排情况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rPr>
        <w:t>收入预算。</w:t>
      </w:r>
      <w:r>
        <w:rPr>
          <w:rFonts w:hint="eastAsia" w:ascii="仿宋_GB2312" w:hAnsi="仿宋_GB2312" w:eastAsia="仿宋_GB2312" w:cs="仿宋_GB2312"/>
          <w:bCs/>
          <w:sz w:val="32"/>
          <w:szCs w:val="32"/>
        </w:rPr>
        <w:t>2022年共安排部门收入预算总额为</w:t>
      </w:r>
      <w:r>
        <w:rPr>
          <w:rFonts w:hint="eastAsia" w:ascii="仿宋_GB2312" w:hAnsi="仿宋_GB2312" w:eastAsia="仿宋_GB2312" w:cs="仿宋_GB2312"/>
          <w:bCs/>
          <w:sz w:val="32"/>
          <w:szCs w:val="32"/>
          <w:lang w:val="en-US" w:eastAsia="zh-CN"/>
        </w:rPr>
        <w:t>18983.58</w:t>
      </w:r>
      <w:r>
        <w:rPr>
          <w:rFonts w:hint="eastAsia" w:ascii="仿宋_GB2312" w:hAnsi="仿宋_GB2312" w:eastAsia="仿宋_GB2312" w:cs="仿宋_GB2312"/>
          <w:bCs/>
          <w:sz w:val="32"/>
          <w:szCs w:val="32"/>
        </w:rPr>
        <w:t>万元，其中</w:t>
      </w:r>
      <w:r>
        <w:rPr>
          <w:rFonts w:hint="eastAsia" w:ascii="仿宋_GB2312" w:hAnsi="仿宋_GB2312" w:eastAsia="仿宋_GB2312" w:cs="仿宋_GB2312"/>
          <w:bCs/>
          <w:sz w:val="32"/>
          <w:szCs w:val="32"/>
          <w:highlight w:val="none"/>
          <w:lang w:val="en-US" w:eastAsia="zh-CN"/>
        </w:rPr>
        <w:t>区</w:t>
      </w:r>
      <w:r>
        <w:rPr>
          <w:rFonts w:hint="eastAsia" w:ascii="仿宋_GB2312" w:hAnsi="仿宋_GB2312" w:eastAsia="仿宋_GB2312" w:cs="仿宋_GB2312"/>
          <w:bCs/>
          <w:sz w:val="32"/>
          <w:szCs w:val="32"/>
          <w:highlight w:val="none"/>
        </w:rPr>
        <w:t>财政拨款（补助）收入14188.73万元，上级补助收入</w:t>
      </w:r>
      <w:r>
        <w:rPr>
          <w:rFonts w:hint="eastAsia" w:ascii="仿宋_GB2312" w:hAnsi="仿宋_GB2312" w:eastAsia="仿宋_GB2312" w:cs="仿宋_GB2312"/>
          <w:bCs/>
          <w:sz w:val="32"/>
          <w:szCs w:val="32"/>
          <w:highlight w:val="none"/>
          <w:lang w:val="en-US" w:eastAsia="zh-CN"/>
        </w:rPr>
        <w:t>4794.85</w:t>
      </w:r>
      <w:r>
        <w:rPr>
          <w:rFonts w:hint="eastAsia" w:ascii="仿宋_GB2312" w:hAnsi="仿宋_GB2312" w:eastAsia="仿宋_GB2312" w:cs="仿宋_GB2312"/>
          <w:bCs/>
          <w:sz w:val="32"/>
          <w:szCs w:val="32"/>
          <w:highlight w:val="none"/>
        </w:rPr>
        <w:t>万元。</w:t>
      </w:r>
    </w:p>
    <w:p>
      <w:pPr>
        <w:numPr>
          <w:ilvl w:val="0"/>
          <w:numId w:val="0"/>
        </w:numPr>
        <w:spacing w:line="600" w:lineRule="exact"/>
        <w:ind w:firstLine="643" w:firstLineChars="200"/>
        <w:rPr>
          <w:rFonts w:hint="default"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2.</w:t>
      </w:r>
      <w:r>
        <w:rPr>
          <w:rFonts w:hint="eastAsia" w:ascii="仿宋_GB2312" w:hAnsi="仿宋_GB2312" w:eastAsia="仿宋_GB2312" w:cs="仿宋_GB2312"/>
          <w:b/>
          <w:bCs w:val="0"/>
          <w:sz w:val="32"/>
          <w:szCs w:val="32"/>
          <w:highlight w:val="none"/>
        </w:rPr>
        <w:t>支出预算。</w:t>
      </w:r>
      <w:r>
        <w:rPr>
          <w:rFonts w:hint="eastAsia" w:ascii="仿宋_GB2312" w:hAnsi="仿宋_GB2312" w:eastAsia="仿宋_GB2312" w:cs="仿宋_GB2312"/>
          <w:bCs/>
          <w:sz w:val="32"/>
          <w:szCs w:val="32"/>
          <w:highlight w:val="none"/>
        </w:rPr>
        <w:t>2022年部门支出预算总额为18983.5</w:t>
      </w:r>
      <w:r>
        <w:rPr>
          <w:rFonts w:hint="eastAsia" w:ascii="仿宋_GB2312" w:hAnsi="仿宋_GB2312" w:eastAsia="仿宋_GB2312" w:cs="仿宋_GB2312"/>
          <w:bCs/>
          <w:sz w:val="32"/>
          <w:szCs w:val="32"/>
          <w:highlight w:val="none"/>
          <w:lang w:val="en-US" w:eastAsia="zh-CN"/>
        </w:rPr>
        <w:t>8</w:t>
      </w:r>
      <w:r>
        <w:rPr>
          <w:rFonts w:hint="eastAsia" w:ascii="仿宋_GB2312" w:hAnsi="仿宋_GB2312" w:eastAsia="仿宋_GB2312" w:cs="仿宋_GB2312"/>
          <w:bCs/>
          <w:sz w:val="32"/>
          <w:szCs w:val="32"/>
          <w:highlight w:val="none"/>
        </w:rPr>
        <w:t>万元，</w:t>
      </w:r>
      <w:r>
        <w:rPr>
          <w:rFonts w:hint="eastAsia" w:ascii="仿宋_GB2312" w:hAnsi="仿宋_GB2312" w:eastAsia="仿宋_GB2312" w:cs="仿宋_GB2312"/>
          <w:bCs/>
          <w:sz w:val="32"/>
          <w:szCs w:val="32"/>
          <w:highlight w:val="none"/>
          <w:lang w:val="en-US" w:eastAsia="zh-CN"/>
        </w:rPr>
        <w:t>其中区</w:t>
      </w:r>
      <w:r>
        <w:rPr>
          <w:rFonts w:hint="eastAsia" w:ascii="仿宋_GB2312" w:hAnsi="仿宋_GB2312" w:eastAsia="仿宋_GB2312" w:cs="仿宋_GB2312"/>
          <w:bCs/>
          <w:sz w:val="32"/>
          <w:szCs w:val="32"/>
          <w:highlight w:val="none"/>
        </w:rPr>
        <w:t>财政拨款（补助）收入</w:t>
      </w:r>
      <w:r>
        <w:rPr>
          <w:rFonts w:hint="eastAsia" w:ascii="仿宋_GB2312" w:hAnsi="仿宋_GB2312" w:eastAsia="仿宋_GB2312" w:cs="仿宋_GB2312"/>
          <w:bCs/>
          <w:sz w:val="32"/>
          <w:szCs w:val="32"/>
          <w:highlight w:val="none"/>
          <w:lang w:val="en-US" w:eastAsia="zh-CN"/>
        </w:rPr>
        <w:t>安排的支出</w:t>
      </w:r>
      <w:r>
        <w:rPr>
          <w:rFonts w:hint="eastAsia" w:ascii="仿宋_GB2312" w:hAnsi="仿宋_GB2312" w:eastAsia="仿宋_GB2312" w:cs="仿宋_GB2312"/>
          <w:bCs/>
          <w:sz w:val="32"/>
          <w:szCs w:val="32"/>
          <w:highlight w:val="none"/>
        </w:rPr>
        <w:t>14188.73万元，上级补助收入</w:t>
      </w:r>
      <w:r>
        <w:rPr>
          <w:rFonts w:hint="eastAsia" w:ascii="仿宋_GB2312" w:hAnsi="仿宋_GB2312" w:eastAsia="仿宋_GB2312" w:cs="仿宋_GB2312"/>
          <w:bCs/>
          <w:sz w:val="32"/>
          <w:szCs w:val="32"/>
          <w:highlight w:val="none"/>
          <w:lang w:val="en-US" w:eastAsia="zh-CN"/>
        </w:rPr>
        <w:t>安排的支出4794.85</w:t>
      </w:r>
      <w:r>
        <w:rPr>
          <w:rFonts w:hint="eastAsia" w:ascii="仿宋_GB2312" w:hAnsi="仿宋_GB2312" w:eastAsia="仿宋_GB2312" w:cs="仿宋_GB2312"/>
          <w:bCs/>
          <w:sz w:val="32"/>
          <w:szCs w:val="32"/>
          <w:highlight w:val="none"/>
        </w:rPr>
        <w:t>万元。按支出项目类别划分：基本支出327.5</w:t>
      </w:r>
      <w:r>
        <w:rPr>
          <w:rFonts w:hint="eastAsia" w:ascii="仿宋_GB2312" w:hAnsi="仿宋_GB2312" w:eastAsia="仿宋_GB2312" w:cs="仿宋_GB2312"/>
          <w:bCs/>
          <w:sz w:val="32"/>
          <w:szCs w:val="32"/>
          <w:highlight w:val="none"/>
          <w:lang w:val="en-US" w:eastAsia="zh-CN"/>
        </w:rPr>
        <w:t>8</w:t>
      </w:r>
      <w:r>
        <w:rPr>
          <w:rFonts w:hint="eastAsia" w:ascii="仿宋_GB2312" w:hAnsi="仿宋_GB2312" w:eastAsia="仿宋_GB2312" w:cs="仿宋_GB2312"/>
          <w:bCs/>
          <w:sz w:val="32"/>
          <w:szCs w:val="32"/>
          <w:highlight w:val="none"/>
        </w:rPr>
        <w:t>万元，占支出预算总额的1.73%;项目支出18656万元，占支出预算总额的98.27%。</w:t>
      </w:r>
      <w:r>
        <w:rPr>
          <w:rFonts w:hint="eastAsia" w:ascii="仿宋_GB2312" w:hAnsi="仿宋_GB2312" w:eastAsia="仿宋_GB2312" w:cs="仿宋_GB2312"/>
          <w:b/>
          <w:bCs w:val="0"/>
          <w:sz w:val="32"/>
          <w:szCs w:val="32"/>
          <w:highlight w:val="none"/>
          <w:lang w:val="en-US" w:eastAsia="zh-CN"/>
        </w:rPr>
        <w:t>项目支出中困难群众救助资金2508.54万元，占支出预算总额的13.2%。</w:t>
      </w:r>
      <w:r>
        <w:rPr>
          <w:rFonts w:hint="eastAsia" w:ascii="仿宋_GB2312" w:hAnsi="仿宋_GB2312" w:eastAsia="仿宋_GB2312" w:cs="仿宋_GB2312"/>
          <w:bCs/>
          <w:sz w:val="32"/>
          <w:szCs w:val="32"/>
          <w:highlight w:val="none"/>
          <w:lang w:val="en-US" w:eastAsia="zh-CN"/>
        </w:rPr>
        <w:t>具体项目是：</w:t>
      </w:r>
    </w:p>
    <w:p>
      <w:pPr>
        <w:pStyle w:val="24"/>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华文仿宋" w:hAnsi="华文仿宋" w:eastAsia="华文仿宋" w:cs="华文仿宋"/>
          <w:sz w:val="32"/>
          <w:szCs w:val="32"/>
          <w:lang w:val="en-US" w:eastAsia="zh-CN"/>
        </w:rPr>
      </w:pPr>
      <w:r>
        <w:rPr>
          <w:rFonts w:hint="eastAsia" w:ascii="楷体" w:hAnsi="楷体" w:eastAsia="楷体" w:cs="楷体"/>
          <w:b/>
          <w:bCs/>
          <w:kern w:val="2"/>
          <w:sz w:val="32"/>
          <w:szCs w:val="32"/>
          <w:lang w:val="en-US" w:eastAsia="zh-CN" w:bidi="ar-SA"/>
        </w:rPr>
        <w:t>社会救助支出</w:t>
      </w:r>
      <w:r>
        <w:rPr>
          <w:rFonts w:hint="eastAsia" w:ascii="仿宋" w:hAnsi="仿宋" w:eastAsia="仿宋" w:cs="仿宋"/>
          <w:b w:val="0"/>
          <w:bCs w:val="0"/>
          <w:kern w:val="2"/>
          <w:sz w:val="32"/>
          <w:szCs w:val="32"/>
          <w:lang w:val="en-US" w:eastAsia="zh-CN" w:bidi="ar-SA"/>
        </w:rPr>
        <w:t>安排</w:t>
      </w:r>
      <w:r>
        <w:rPr>
          <w:rFonts w:hint="eastAsia" w:ascii="华文仿宋" w:hAnsi="华文仿宋" w:eastAsia="华文仿宋" w:cs="华文仿宋"/>
          <w:sz w:val="32"/>
          <w:szCs w:val="32"/>
          <w:lang w:val="en-US" w:eastAsia="zh-CN"/>
        </w:rPr>
        <w:t>资金2112.4万元，主要包括：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华文仿宋" w:hAnsi="华文仿宋" w:eastAsia="华文仿宋" w:cs="华文仿宋"/>
          <w:sz w:val="32"/>
          <w:szCs w:val="32"/>
          <w:lang w:val="en-US" w:eastAsia="zh-CN"/>
        </w:rPr>
      </w:pPr>
      <w:r>
        <w:rPr>
          <w:rFonts w:hint="eastAsia" w:ascii="仿宋_GB2312" w:hAnsi="仿宋_GB2312" w:eastAsia="仿宋_GB2312" w:cs="仿宋_GB2312"/>
          <w:b/>
          <w:color w:val="000000"/>
          <w:kern w:val="0"/>
          <w:sz w:val="32"/>
          <w:szCs w:val="32"/>
          <w:lang w:val="en-US" w:eastAsia="zh-CN" w:bidi="ar-SA"/>
        </w:rPr>
        <w:t>（1）低保及特困供养。</w:t>
      </w:r>
      <w:r>
        <w:rPr>
          <w:rFonts w:hint="eastAsia" w:ascii="华文仿宋" w:hAnsi="华文仿宋" w:eastAsia="华文仿宋" w:cs="华文仿宋"/>
          <w:sz w:val="32"/>
          <w:szCs w:val="32"/>
          <w:lang w:val="en-US" w:eastAsia="zh-CN"/>
        </w:rPr>
        <w:t>共计1808万元，主要用于发放低保金、特困供养人员</w:t>
      </w:r>
      <w:r>
        <w:rPr>
          <w:rFonts w:hint="default" w:ascii="华文仿宋" w:hAnsi="华文仿宋" w:eastAsia="华文仿宋" w:cs="华文仿宋"/>
          <w:sz w:val="32"/>
          <w:szCs w:val="32"/>
          <w:lang w:val="en-US" w:eastAsia="zh-CN"/>
        </w:rPr>
        <w:t>供养金</w:t>
      </w:r>
      <w:r>
        <w:rPr>
          <w:rFonts w:hint="eastAsia" w:ascii="华文仿宋" w:hAnsi="华文仿宋" w:eastAsia="华文仿宋" w:cs="华文仿宋"/>
          <w:sz w:val="32"/>
          <w:szCs w:val="32"/>
          <w:lang w:val="en-US" w:eastAsia="zh-CN"/>
        </w:rPr>
        <w:t>及集中供养护理金，其中城市低保金1700万、</w:t>
      </w:r>
      <w:r>
        <w:rPr>
          <w:rFonts w:hint="default" w:ascii="华文仿宋" w:hAnsi="华文仿宋" w:eastAsia="华文仿宋" w:cs="华文仿宋"/>
          <w:sz w:val="32"/>
          <w:szCs w:val="32"/>
          <w:lang w:val="en-US" w:eastAsia="zh-CN"/>
        </w:rPr>
        <w:t>城市特困供养人员供养金</w:t>
      </w:r>
      <w:r>
        <w:rPr>
          <w:rFonts w:hint="eastAsia" w:ascii="华文仿宋" w:hAnsi="华文仿宋" w:eastAsia="华文仿宋" w:cs="华文仿宋"/>
          <w:sz w:val="32"/>
          <w:szCs w:val="32"/>
          <w:lang w:val="en-US" w:eastAsia="zh-CN"/>
        </w:rPr>
        <w:t>90万、城市特困供养人员集中供养护理金18万。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华文仿宋" w:hAnsi="华文仿宋" w:eastAsia="华文仿宋" w:cs="华文仿宋"/>
          <w:sz w:val="32"/>
          <w:szCs w:val="32"/>
          <w:lang w:val="en-US" w:eastAsia="zh-CN"/>
        </w:rPr>
      </w:pPr>
      <w:r>
        <w:rPr>
          <w:rFonts w:hint="eastAsia" w:ascii="仿宋_GB2312" w:hAnsi="仿宋_GB2312" w:eastAsia="仿宋_GB2312" w:cs="仿宋_GB2312"/>
          <w:b/>
          <w:color w:val="000000"/>
          <w:kern w:val="0"/>
          <w:sz w:val="32"/>
          <w:szCs w:val="32"/>
          <w:lang w:val="en-US" w:eastAsia="zh-CN" w:bidi="ar-SA"/>
        </w:rPr>
        <w:t>（2）临时救助。</w:t>
      </w:r>
      <w:r>
        <w:rPr>
          <w:rFonts w:hint="eastAsia" w:ascii="华文仿宋" w:hAnsi="华文仿宋" w:eastAsia="华文仿宋" w:cs="华文仿宋"/>
          <w:sz w:val="32"/>
          <w:szCs w:val="32"/>
          <w:lang w:val="en-US" w:eastAsia="zh-CN"/>
        </w:rPr>
        <w:t>共计56万元，主要用于对因特殊原因导致生活困难的人员给予生活救助，包括小额型、过渡型、急难型及支出型共4种。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华文仿宋" w:hAnsi="华文仿宋" w:eastAsia="华文仿宋" w:cs="华文仿宋"/>
          <w:sz w:val="32"/>
          <w:szCs w:val="32"/>
          <w:lang w:val="en-US" w:eastAsia="zh-CN"/>
        </w:rPr>
      </w:pPr>
      <w:r>
        <w:rPr>
          <w:rFonts w:hint="eastAsia" w:ascii="仿宋_GB2312" w:hAnsi="仿宋_GB2312" w:eastAsia="仿宋_GB2312" w:cs="仿宋_GB2312"/>
          <w:b/>
          <w:color w:val="000000"/>
          <w:kern w:val="0"/>
          <w:sz w:val="32"/>
          <w:szCs w:val="32"/>
          <w:lang w:val="en-US" w:eastAsia="zh-CN" w:bidi="ar-SA"/>
        </w:rPr>
        <w:t>（3）其他生活救助。</w:t>
      </w:r>
      <w:r>
        <w:rPr>
          <w:rFonts w:hint="eastAsia" w:ascii="华文仿宋" w:hAnsi="华文仿宋" w:eastAsia="华文仿宋" w:cs="华文仿宋"/>
          <w:sz w:val="32"/>
          <w:szCs w:val="32"/>
          <w:lang w:val="en-US" w:eastAsia="zh-CN"/>
        </w:rPr>
        <w:t>共计135万元，主要用于孤寡老人生活费、供养费、医疗保险、医疗救助。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华文仿宋" w:hAnsi="华文仿宋" w:eastAsia="华文仿宋" w:cs="华文仿宋"/>
          <w:sz w:val="32"/>
          <w:szCs w:val="32"/>
          <w:lang w:val="en-US" w:eastAsia="zh-CN"/>
        </w:rPr>
      </w:pPr>
      <w:r>
        <w:rPr>
          <w:rFonts w:hint="eastAsia" w:ascii="仿宋_GB2312" w:hAnsi="仿宋_GB2312" w:eastAsia="仿宋_GB2312" w:cs="仿宋_GB2312"/>
          <w:b/>
          <w:color w:val="000000"/>
          <w:kern w:val="0"/>
          <w:sz w:val="32"/>
          <w:szCs w:val="32"/>
          <w:lang w:val="en-US" w:eastAsia="zh-CN" w:bidi="ar-SA"/>
        </w:rPr>
        <w:t>（4）防贫险。</w:t>
      </w:r>
      <w:r>
        <w:rPr>
          <w:rFonts w:hint="eastAsia" w:ascii="华文仿宋" w:hAnsi="华文仿宋" w:eastAsia="华文仿宋" w:cs="华文仿宋"/>
          <w:sz w:val="32"/>
          <w:szCs w:val="32"/>
          <w:lang w:val="en-US" w:eastAsia="zh-CN"/>
        </w:rPr>
        <w:t>共计26万元，主要用于为全区贫困对象购买防贫保险，确保困难群众不返贫，进一步巩固提升解困脱困成效。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b/>
          <w:bCs/>
          <w:sz w:val="32"/>
          <w:szCs w:val="32"/>
          <w:lang w:val="en-US" w:eastAsia="zh-CN"/>
        </w:rPr>
        <w:t>（5）走访慰问。</w:t>
      </w:r>
      <w:r>
        <w:rPr>
          <w:rFonts w:hint="eastAsia" w:ascii="华文仿宋" w:hAnsi="华文仿宋" w:eastAsia="华文仿宋" w:cs="华文仿宋"/>
          <w:sz w:val="32"/>
          <w:szCs w:val="32"/>
          <w:lang w:val="en-US" w:eastAsia="zh-CN"/>
        </w:rPr>
        <w:t>共计87.4万元，主要用于春节等节日期间对困难对象开展走访慰问活动，使困难对象感受到党和政府的温暖和关心，促进社会和谐稳定。</w:t>
      </w:r>
    </w:p>
    <w:p>
      <w:pPr>
        <w:pStyle w:val="24"/>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华文仿宋" w:hAnsi="华文仿宋" w:eastAsia="华文仿宋" w:cs="华文仿宋"/>
          <w:sz w:val="32"/>
          <w:szCs w:val="32"/>
          <w:lang w:val="en-US" w:eastAsia="zh-CN"/>
        </w:rPr>
      </w:pPr>
      <w:r>
        <w:rPr>
          <w:rFonts w:hint="eastAsia" w:ascii="楷体" w:hAnsi="楷体" w:eastAsia="楷体" w:cs="楷体"/>
          <w:b/>
          <w:bCs/>
          <w:kern w:val="2"/>
          <w:sz w:val="32"/>
          <w:szCs w:val="32"/>
          <w:lang w:val="en-US" w:eastAsia="zh-CN" w:bidi="ar-SA"/>
        </w:rPr>
        <w:t>社会事务和社会福利支出</w:t>
      </w:r>
      <w:r>
        <w:rPr>
          <w:rFonts w:hint="eastAsia" w:ascii="华文仿宋" w:hAnsi="华文仿宋" w:eastAsia="华文仿宋" w:cs="华文仿宋"/>
          <w:sz w:val="32"/>
          <w:szCs w:val="32"/>
          <w:lang w:val="en-US" w:eastAsia="zh-CN"/>
        </w:rPr>
        <w:t>安排资金396.14万元，主要包括：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b/>
          <w:bCs/>
          <w:sz w:val="32"/>
          <w:szCs w:val="32"/>
          <w:lang w:val="en-US" w:eastAsia="zh-CN"/>
        </w:rPr>
        <w:t>（1）儿童福利。</w:t>
      </w:r>
      <w:r>
        <w:rPr>
          <w:rFonts w:hint="eastAsia" w:ascii="华文仿宋" w:hAnsi="华文仿宋" w:eastAsia="华文仿宋" w:cs="华文仿宋"/>
          <w:sz w:val="32"/>
          <w:szCs w:val="32"/>
          <w:lang w:val="en-US" w:eastAsia="zh-CN"/>
        </w:rPr>
        <w:t>共计176.14万元，其中孤儿基本生活保障16.9万元、事实无人抚养基本保障153.6万元、六一走访慰问1.56万、艾滋病感染儿童1.536万、孤儿助学金2万、孤儿“明天计划”医疗资助2.08万。</w:t>
      </w:r>
    </w:p>
    <w:p>
      <w:pPr>
        <w:pStyle w:val="2"/>
        <w:ind w:firstLine="643" w:firstLineChars="200"/>
        <w:rPr>
          <w:rFonts w:hint="eastAsia"/>
          <w:lang w:val="en-US" w:eastAsia="zh-CN"/>
        </w:rPr>
      </w:pPr>
      <w:r>
        <w:rPr>
          <w:rFonts w:hint="eastAsia" w:ascii="华文仿宋" w:hAnsi="华文仿宋" w:eastAsia="华文仿宋" w:cs="华文仿宋"/>
          <w:b/>
          <w:bCs/>
          <w:sz w:val="32"/>
          <w:szCs w:val="32"/>
          <w:lang w:val="en-US" w:eastAsia="zh-CN"/>
        </w:rPr>
        <w:t>（2）残疾人两补。</w:t>
      </w:r>
      <w:r>
        <w:rPr>
          <w:rFonts w:hint="eastAsia" w:ascii="华文仿宋" w:hAnsi="华文仿宋" w:eastAsia="华文仿宋" w:cs="华文仿宋"/>
          <w:sz w:val="32"/>
          <w:szCs w:val="32"/>
          <w:lang w:val="en-US" w:eastAsia="zh-CN"/>
        </w:rPr>
        <w:t>共计200万元，主要用于全区2600余名困难残疾人生活补贴及重度残疾人护理补贴。</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lang w:val="en-US"/>
        </w:rPr>
      </w:pPr>
      <w:r>
        <w:rPr>
          <w:rFonts w:hint="eastAsia" w:ascii="华文仿宋" w:hAnsi="华文仿宋" w:eastAsia="华文仿宋" w:cs="华文仿宋"/>
          <w:b/>
          <w:bCs/>
          <w:sz w:val="32"/>
          <w:szCs w:val="32"/>
          <w:lang w:val="en-US" w:eastAsia="zh-CN"/>
        </w:rPr>
        <w:t>（3）</w:t>
      </w:r>
      <w:r>
        <w:rPr>
          <w:rFonts w:hint="eastAsia" w:ascii="仿宋_GB2312" w:hAnsi="仿宋_GB2312" w:eastAsia="仿宋_GB2312" w:cs="仿宋_GB2312"/>
          <w:b/>
          <w:color w:val="000000"/>
          <w:sz w:val="32"/>
          <w:szCs w:val="32"/>
        </w:rPr>
        <w:t>流浪乞讨救助</w:t>
      </w:r>
      <w:r>
        <w:rPr>
          <w:rFonts w:hint="eastAsia" w:ascii="仿宋_GB2312" w:hAnsi="仿宋_GB2312" w:eastAsia="仿宋_GB2312" w:cs="仿宋_GB2312"/>
          <w:b/>
          <w:color w:val="000000"/>
          <w:sz w:val="32"/>
          <w:szCs w:val="32"/>
          <w:lang w:eastAsia="zh-CN"/>
        </w:rPr>
        <w:t>。</w:t>
      </w:r>
      <w:r>
        <w:rPr>
          <w:rFonts w:hint="eastAsia" w:ascii="华文仿宋" w:hAnsi="华文仿宋" w:eastAsia="华文仿宋" w:cs="华文仿宋"/>
          <w:kern w:val="2"/>
          <w:sz w:val="32"/>
          <w:szCs w:val="32"/>
          <w:lang w:val="en-US" w:eastAsia="zh-CN" w:bidi="ar-SA"/>
        </w:rPr>
        <w:t>共计20万元，主要用于生活无着的流浪乞讨人员救助及协助寻亲、转送，通过加强宣传引导、强化路面巡查等措施，切实保障流浪乞讨人员基本权益。</w:t>
      </w:r>
    </w:p>
    <w:p>
      <w:pPr>
        <w:spacing w:line="600" w:lineRule="exact"/>
        <w:ind w:firstLine="643" w:firstLineChars="200"/>
        <w:rPr>
          <w:rFonts w:hint="eastAsia" w:ascii="仿宋" w:hAnsi="仿宋" w:eastAsia="仿宋" w:cs="仿宋"/>
          <w:sz w:val="32"/>
          <w:szCs w:val="32"/>
          <w:highlight w:val="none"/>
        </w:rPr>
      </w:pPr>
      <w:r>
        <w:rPr>
          <w:rFonts w:hint="eastAsia" w:ascii="仿宋_GB2312" w:hAnsi="仿宋_GB2312" w:eastAsia="仿宋_GB2312" w:cs="仿宋_GB2312"/>
          <w:b/>
          <w:bCs w:val="0"/>
          <w:sz w:val="32"/>
          <w:szCs w:val="32"/>
          <w:highlight w:val="none"/>
        </w:rPr>
        <w:t>按支出功能科目划分：</w:t>
      </w:r>
      <w:r>
        <w:rPr>
          <w:rFonts w:hint="eastAsia" w:ascii="仿宋_GB2312" w:hAnsi="仿宋_GB2312" w:eastAsia="仿宋_GB2312" w:cs="仿宋_GB2312"/>
          <w:bCs/>
          <w:sz w:val="32"/>
          <w:szCs w:val="32"/>
          <w:highlight w:val="none"/>
        </w:rPr>
        <w:t>社会保障和就业支出12574.5</w:t>
      </w:r>
      <w:r>
        <w:rPr>
          <w:rFonts w:hint="eastAsia" w:ascii="仿宋_GB2312" w:hAnsi="仿宋_GB2312" w:eastAsia="仿宋_GB2312" w:cs="仿宋_GB2312"/>
          <w:bCs/>
          <w:sz w:val="32"/>
          <w:szCs w:val="32"/>
          <w:highlight w:val="none"/>
          <w:lang w:val="en-US" w:eastAsia="zh-CN"/>
        </w:rPr>
        <w:t>8</w:t>
      </w:r>
      <w:r>
        <w:rPr>
          <w:rFonts w:hint="eastAsia" w:ascii="仿宋_GB2312" w:hAnsi="仿宋_GB2312" w:eastAsia="仿宋_GB2312" w:cs="仿宋_GB2312"/>
          <w:bCs/>
          <w:sz w:val="32"/>
          <w:szCs w:val="32"/>
          <w:highlight w:val="none"/>
        </w:rPr>
        <w:t>万元，占支出预算总额的66.24%；卫生健康支出867万元，占支出预算总额的4.57％；城乡社区支出5070万元，占支出预算总额的</w:t>
      </w:r>
      <w:r>
        <w:rPr>
          <w:rFonts w:hint="eastAsia" w:ascii="仿宋" w:hAnsi="仿宋" w:eastAsia="仿宋" w:cs="仿宋"/>
          <w:sz w:val="32"/>
          <w:szCs w:val="32"/>
          <w:highlight w:val="none"/>
        </w:rPr>
        <w:t>26.71％；住房保障支出472万元，占支出预算总额的2.49％。</w:t>
      </w:r>
    </w:p>
    <w:p>
      <w:pPr>
        <w:pStyle w:val="2"/>
        <w:ind w:firstLine="640"/>
        <w:rPr>
          <w:rFonts w:hint="eastAsia" w:ascii="仿宋" w:hAnsi="仿宋" w:eastAsia="仿宋" w:cs="仿宋"/>
          <w:kern w:val="2"/>
          <w:sz w:val="32"/>
          <w:szCs w:val="32"/>
          <w:highlight w:val="none"/>
        </w:rPr>
      </w:pPr>
      <w:r>
        <w:rPr>
          <w:rFonts w:hint="eastAsia" w:ascii="仿宋" w:hAnsi="仿宋" w:eastAsia="仿宋" w:cs="仿宋"/>
          <w:b/>
          <w:bCs/>
          <w:kern w:val="2"/>
          <w:sz w:val="32"/>
          <w:szCs w:val="32"/>
          <w:highlight w:val="none"/>
        </w:rPr>
        <w:t>按支出经济分类划分：</w:t>
      </w:r>
      <w:r>
        <w:rPr>
          <w:rFonts w:hint="eastAsia" w:ascii="仿宋" w:hAnsi="仿宋" w:eastAsia="仿宋" w:cs="仿宋"/>
          <w:kern w:val="2"/>
          <w:sz w:val="32"/>
          <w:szCs w:val="32"/>
          <w:highlight w:val="none"/>
        </w:rPr>
        <w:t>工资福利支出7302.2</w:t>
      </w:r>
      <w:r>
        <w:rPr>
          <w:rFonts w:hint="eastAsia" w:ascii="仿宋" w:hAnsi="仿宋" w:eastAsia="仿宋" w:cs="仿宋"/>
          <w:kern w:val="2"/>
          <w:sz w:val="32"/>
          <w:szCs w:val="32"/>
          <w:highlight w:val="none"/>
          <w:lang w:val="en-US" w:eastAsia="zh-CN"/>
        </w:rPr>
        <w:t>1</w:t>
      </w:r>
      <w:r>
        <w:rPr>
          <w:rFonts w:hint="eastAsia" w:ascii="仿宋" w:hAnsi="仿宋" w:eastAsia="仿宋" w:cs="仿宋"/>
          <w:kern w:val="2"/>
          <w:sz w:val="32"/>
          <w:szCs w:val="32"/>
          <w:highlight w:val="none"/>
        </w:rPr>
        <w:t>万元，占支出预算总额的38.47%；商品和服务支出989.07万元，占支出预算总额的5.21%；对个人和家庭补助支出3761.64万元，占支出预算总额的19.82%；资本性支出6930.6</w:t>
      </w:r>
      <w:r>
        <w:rPr>
          <w:rFonts w:hint="eastAsia" w:ascii="仿宋" w:hAnsi="仿宋" w:eastAsia="仿宋" w:cs="仿宋"/>
          <w:kern w:val="2"/>
          <w:sz w:val="32"/>
          <w:szCs w:val="32"/>
          <w:highlight w:val="none"/>
          <w:lang w:val="en-US" w:eastAsia="zh-CN"/>
        </w:rPr>
        <w:t>6</w:t>
      </w:r>
      <w:r>
        <w:rPr>
          <w:rFonts w:hint="eastAsia" w:ascii="仿宋" w:hAnsi="仿宋" w:eastAsia="仿宋" w:cs="仿宋"/>
          <w:kern w:val="2"/>
          <w:sz w:val="32"/>
          <w:szCs w:val="32"/>
          <w:highlight w:val="none"/>
        </w:rPr>
        <w:t>万元，占支出预算总额的36.51%。</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仿宋" w:hAnsi="仿宋" w:eastAsia="仿宋" w:cs="仿宋"/>
          <w:b/>
          <w:color w:val="000000"/>
          <w:sz w:val="32"/>
          <w:highlight w:val="none"/>
        </w:rPr>
      </w:pPr>
      <w:r>
        <w:rPr>
          <w:rFonts w:hint="eastAsia" w:ascii="仿宋" w:hAnsi="仿宋" w:eastAsia="仿宋" w:cs="仿宋"/>
          <w:b/>
          <w:color w:val="000000"/>
          <w:sz w:val="32"/>
          <w:highlight w:val="none"/>
          <w:lang w:val="en-US" w:eastAsia="zh-CN"/>
        </w:rPr>
        <w:t>3.</w:t>
      </w:r>
      <w:r>
        <w:rPr>
          <w:rFonts w:hint="eastAsia" w:ascii="仿宋" w:hAnsi="仿宋" w:eastAsia="仿宋" w:cs="仿宋"/>
          <w:b/>
          <w:color w:val="000000"/>
          <w:sz w:val="32"/>
          <w:highlight w:val="none"/>
        </w:rPr>
        <w:t>“三公”经费支出预算</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sz w:val="32"/>
          <w:highlight w:val="none"/>
        </w:rPr>
      </w:pPr>
      <w:r>
        <w:rPr>
          <w:rFonts w:hint="eastAsia" w:ascii="仿宋_GB2312" w:eastAsia="仿宋_GB2312"/>
          <w:sz w:val="32"/>
          <w:highlight w:val="none"/>
        </w:rPr>
        <w:t>20</w:t>
      </w:r>
      <w:r>
        <w:rPr>
          <w:rFonts w:hint="eastAsia" w:ascii="仿宋_GB2312" w:eastAsia="仿宋_GB2312"/>
          <w:sz w:val="32"/>
          <w:highlight w:val="none"/>
          <w:lang w:val="en-US" w:eastAsia="zh-CN"/>
        </w:rPr>
        <w:t>22</w:t>
      </w:r>
      <w:r>
        <w:rPr>
          <w:rFonts w:hint="eastAsia" w:ascii="仿宋_GB2312" w:eastAsia="仿宋_GB2312"/>
          <w:sz w:val="32"/>
          <w:highlight w:val="none"/>
        </w:rPr>
        <w:t>年部门三公经费预算总支出</w:t>
      </w:r>
      <w:r>
        <w:rPr>
          <w:rFonts w:hint="eastAsia" w:ascii="仿宋_GB2312" w:eastAsia="仿宋_GB2312"/>
          <w:sz w:val="32"/>
          <w:highlight w:val="none"/>
          <w:lang w:val="en-US" w:eastAsia="zh-CN"/>
        </w:rPr>
        <w:t>1</w:t>
      </w:r>
      <w:r>
        <w:rPr>
          <w:rFonts w:hint="eastAsia" w:ascii="仿宋_GB2312" w:eastAsia="仿宋_GB2312"/>
          <w:sz w:val="32"/>
          <w:highlight w:val="none"/>
        </w:rPr>
        <w:t>万元，占预算总额的</w:t>
      </w:r>
      <w:r>
        <w:rPr>
          <w:rFonts w:hint="eastAsia" w:ascii="仿宋_GB2312" w:eastAsia="仿宋_GB2312"/>
          <w:sz w:val="32"/>
          <w:highlight w:val="none"/>
          <w:lang w:val="en-US" w:eastAsia="zh-CN"/>
        </w:rPr>
        <w:t>0.05</w:t>
      </w:r>
      <w:r>
        <w:rPr>
          <w:rFonts w:hint="eastAsia" w:ascii="仿宋_GB2312" w:eastAsia="仿宋_GB2312"/>
          <w:sz w:val="32"/>
          <w:highlight w:val="none"/>
        </w:rPr>
        <w:t>%。其中：公务接待费</w:t>
      </w:r>
      <w:r>
        <w:rPr>
          <w:rFonts w:hint="eastAsia" w:ascii="仿宋_GB2312" w:eastAsia="仿宋_GB2312"/>
          <w:sz w:val="32"/>
          <w:highlight w:val="none"/>
          <w:lang w:val="en-US" w:eastAsia="zh-CN"/>
        </w:rPr>
        <w:t>1</w:t>
      </w:r>
      <w:r>
        <w:rPr>
          <w:rFonts w:hint="eastAsia" w:ascii="仿宋_GB2312" w:eastAsia="仿宋_GB2312"/>
          <w:sz w:val="32"/>
          <w:highlight w:val="none"/>
        </w:rPr>
        <w:t>万元。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仿宋" w:hAnsi="仿宋" w:eastAsia="仿宋" w:cs="仿宋"/>
          <w:b/>
          <w:color w:val="000000"/>
          <w:sz w:val="32"/>
          <w:highlight w:val="none"/>
        </w:rPr>
      </w:pPr>
      <w:r>
        <w:rPr>
          <w:rFonts w:hint="eastAsia" w:ascii="仿宋" w:hAnsi="仿宋" w:eastAsia="仿宋" w:cs="仿宋"/>
          <w:b/>
          <w:color w:val="000000"/>
          <w:sz w:val="32"/>
          <w:highlight w:val="none"/>
          <w:lang w:val="en-US" w:eastAsia="zh-CN"/>
        </w:rPr>
        <w:t>4.</w:t>
      </w:r>
      <w:r>
        <w:rPr>
          <w:rFonts w:hint="eastAsia" w:ascii="仿宋" w:hAnsi="仿宋" w:eastAsia="仿宋" w:cs="仿宋"/>
          <w:b/>
          <w:color w:val="000000"/>
          <w:sz w:val="32"/>
          <w:highlight w:val="none"/>
        </w:rPr>
        <w:t>政府采购支出预算</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eastAsia="仿宋_GB2312"/>
          <w:highlight w:val="yellow"/>
          <w:lang w:val="en-US" w:eastAsia="zh-CN"/>
        </w:rPr>
      </w:pPr>
      <w:r>
        <w:rPr>
          <w:rFonts w:hint="eastAsia" w:ascii="仿宋_GB2312" w:eastAsia="仿宋_GB2312"/>
          <w:sz w:val="32"/>
          <w:highlight w:val="none"/>
          <w:lang w:val="en-US" w:eastAsia="zh-CN"/>
        </w:rPr>
        <w:t>2022</w:t>
      </w:r>
      <w:r>
        <w:rPr>
          <w:rFonts w:hint="eastAsia" w:ascii="仿宋_GB2312" w:eastAsia="仿宋_GB2312"/>
          <w:sz w:val="32"/>
          <w:highlight w:val="none"/>
        </w:rPr>
        <w:t>年部门政府采购预算总支出</w:t>
      </w:r>
      <w:r>
        <w:rPr>
          <w:rFonts w:hint="eastAsia" w:ascii="仿宋_GB2312" w:eastAsia="仿宋_GB2312"/>
          <w:sz w:val="32"/>
          <w:highlight w:val="none"/>
          <w:lang w:val="en-US" w:eastAsia="zh-CN"/>
        </w:rPr>
        <w:t>349</w:t>
      </w:r>
      <w:r>
        <w:rPr>
          <w:rFonts w:hint="eastAsia" w:ascii="仿宋_GB2312" w:eastAsia="仿宋_GB2312"/>
          <w:sz w:val="32"/>
          <w:highlight w:val="none"/>
        </w:rPr>
        <w:t>万元，占预算总额的</w:t>
      </w:r>
      <w:r>
        <w:rPr>
          <w:rFonts w:hint="eastAsia" w:ascii="仿宋_GB2312" w:eastAsia="仿宋_GB2312"/>
          <w:sz w:val="32"/>
          <w:highlight w:val="none"/>
          <w:lang w:val="en-US" w:eastAsia="zh-CN"/>
        </w:rPr>
        <w:t>18.38</w:t>
      </w:r>
      <w:r>
        <w:rPr>
          <w:rFonts w:hint="eastAsia" w:ascii="仿宋_GB2312" w:eastAsia="仿宋_GB2312"/>
          <w:sz w:val="32"/>
          <w:highlight w:val="none"/>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黑体" w:hAnsi="黑体" w:eastAsia="黑体" w:cs="黑体"/>
          <w:b/>
          <w:bCs/>
          <w:i w:val="0"/>
          <w:iCs w:val="0"/>
          <w:caps w:val="0"/>
          <w:color w:val="000000" w:themeColor="text1"/>
          <w:spacing w:val="0"/>
          <w:sz w:val="32"/>
          <w:szCs w:val="32"/>
          <w14:textFill>
            <w14:solidFill>
              <w14:schemeClr w14:val="tx1"/>
            </w14:solidFill>
          </w14:textFill>
        </w:rPr>
      </w:pPr>
      <w:r>
        <w:rPr>
          <w:rFonts w:hint="eastAsia" w:ascii="黑体" w:hAnsi="黑体" w:eastAsia="黑体" w:cs="黑体"/>
          <w:b/>
          <w:bCs/>
          <w:i w:val="0"/>
          <w:iCs w:val="0"/>
          <w:caps w:val="0"/>
          <w:color w:val="000000" w:themeColor="text1"/>
          <w:spacing w:val="0"/>
          <w:sz w:val="32"/>
          <w:szCs w:val="32"/>
          <w:shd w:val="clear" w:fill="FFFFFF"/>
          <w14:textFill>
            <w14:solidFill>
              <w14:schemeClr w14:val="tx1"/>
            </w14:solidFill>
          </w14:textFill>
        </w:rPr>
        <w:t>三、202</w:t>
      </w:r>
      <w:r>
        <w:rPr>
          <w:rFonts w:hint="eastAsia" w:ascii="黑体" w:hAnsi="黑体" w:eastAsia="黑体" w:cs="黑体"/>
          <w:b/>
          <w:bCs/>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黑体" w:hAnsi="黑体" w:eastAsia="黑体" w:cs="黑体"/>
          <w:b/>
          <w:bCs/>
          <w:i w:val="0"/>
          <w:iCs w:val="0"/>
          <w:caps w:val="0"/>
          <w:color w:val="000000" w:themeColor="text1"/>
          <w:spacing w:val="0"/>
          <w:sz w:val="32"/>
          <w:szCs w:val="32"/>
          <w:shd w:val="clear" w:fill="FFFFFF"/>
          <w14:textFill>
            <w14:solidFill>
              <w14:schemeClr w14:val="tx1"/>
            </w14:solidFill>
          </w14:textFill>
        </w:rPr>
        <w:t>年财政工作重点</w:t>
      </w:r>
    </w:p>
    <w:p>
      <w:pPr>
        <w:keepNext w:val="0"/>
        <w:keepLines w:val="0"/>
        <w:pageBreakBefore w:val="0"/>
        <w:widowControl/>
        <w:suppressLineNumbers w:val="0"/>
        <w:kinsoku/>
        <w:wordWrap/>
        <w:overflowPunct/>
        <w:topLinePunct w:val="0"/>
        <w:bidi w:val="0"/>
        <w:adjustRightInd/>
        <w:snapToGrid/>
        <w:spacing w:line="560" w:lineRule="exact"/>
        <w:ind w:firstLine="640" w:firstLineChars="200"/>
        <w:jc w:val="left"/>
        <w:textAlignment w:val="auto"/>
        <w:rPr>
          <w:rFonts w:hint="eastAsia" w:ascii="仿宋" w:hAnsi="仿宋" w:eastAsia="仿宋" w:cs="仿宋"/>
          <w:i w:val="0"/>
          <w:iCs w:val="0"/>
          <w:caps w:val="0"/>
          <w:color w:val="666666"/>
          <w:spacing w:val="0"/>
          <w:sz w:val="32"/>
          <w:szCs w:val="32"/>
        </w:rPr>
      </w:pPr>
      <w:r>
        <w:rPr>
          <w:rFonts w:hint="eastAsia" w:ascii="仿宋" w:hAnsi="仿宋" w:eastAsia="仿宋" w:cs="仿宋"/>
          <w:color w:val="000000"/>
          <w:kern w:val="0"/>
          <w:sz w:val="32"/>
          <w:szCs w:val="32"/>
          <w:lang w:val="en-US" w:eastAsia="zh-CN" w:bidi="ar"/>
        </w:rPr>
        <w:t>2022年是我区迈入行政区后，各项事业走向成熟的关键一年，做好财政工作，对促进全区经济社会持续高质量发展具有重要的意义。我们将按照区委的决策部署，立足财政新定位，抢抓发展新机遇，保持锐意进取、攻坚克难的精神，在发展中蓄势图新，确保圆满完成2022年财政工作各项任务。</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firstLine="643" w:firstLineChars="200"/>
        <w:jc w:val="both"/>
        <w:textAlignment w:val="auto"/>
        <w:outlineLvl w:val="9"/>
        <w:rPr>
          <w:rFonts w:hint="eastAsia" w:ascii="仿宋" w:hAnsi="仿宋" w:eastAsia="仿宋" w:cs="仿宋"/>
          <w:i w:val="0"/>
          <w:caps w:val="0"/>
          <w:color w:val="auto"/>
          <w:spacing w:val="0"/>
          <w:sz w:val="32"/>
          <w:szCs w:val="32"/>
        </w:rPr>
      </w:pPr>
      <w:r>
        <w:rPr>
          <w:rFonts w:hint="eastAsia" w:ascii="楷体" w:hAnsi="楷体" w:eastAsia="楷体" w:cs="楷体"/>
          <w:b/>
          <w:bCs/>
          <w:i w:val="0"/>
          <w:caps w:val="0"/>
          <w:color w:val="auto"/>
          <w:spacing w:val="0"/>
          <w:sz w:val="32"/>
          <w:szCs w:val="32"/>
        </w:rPr>
        <w:t>稳收入</w:t>
      </w:r>
      <w:r>
        <w:rPr>
          <w:rFonts w:hint="eastAsia" w:ascii="楷体" w:hAnsi="楷体" w:eastAsia="楷体" w:cs="楷体"/>
          <w:b/>
          <w:bCs/>
          <w:i w:val="0"/>
          <w:caps w:val="0"/>
          <w:color w:val="auto"/>
          <w:spacing w:val="0"/>
          <w:sz w:val="32"/>
          <w:szCs w:val="32"/>
          <w:lang w:eastAsia="zh-CN"/>
        </w:rPr>
        <w:t>、</w:t>
      </w:r>
      <w:r>
        <w:rPr>
          <w:rFonts w:hint="eastAsia" w:ascii="楷体" w:hAnsi="楷体" w:eastAsia="楷体" w:cs="楷体"/>
          <w:b/>
          <w:bCs/>
          <w:i w:val="0"/>
          <w:caps w:val="0"/>
          <w:color w:val="auto"/>
          <w:spacing w:val="0"/>
          <w:sz w:val="32"/>
          <w:szCs w:val="32"/>
        </w:rPr>
        <w:t>养财源</w:t>
      </w:r>
      <w:r>
        <w:rPr>
          <w:rFonts w:hint="eastAsia" w:ascii="楷体" w:hAnsi="楷体" w:eastAsia="楷体" w:cs="楷体"/>
          <w:b/>
          <w:bCs/>
          <w:i w:val="0"/>
          <w:caps w:val="0"/>
          <w:color w:val="auto"/>
          <w:spacing w:val="0"/>
          <w:sz w:val="32"/>
          <w:szCs w:val="32"/>
          <w:lang w:eastAsia="zh-CN"/>
        </w:rPr>
        <w:t>，</w:t>
      </w:r>
      <w:r>
        <w:rPr>
          <w:rFonts w:hint="eastAsia" w:ascii="楷体" w:hAnsi="楷体" w:eastAsia="楷体" w:cs="楷体"/>
          <w:b/>
          <w:bCs/>
          <w:i w:val="0"/>
          <w:caps w:val="0"/>
          <w:color w:val="auto"/>
          <w:spacing w:val="0"/>
          <w:sz w:val="32"/>
          <w:szCs w:val="32"/>
          <w:shd w:val="clear" w:color="auto" w:fill="FFFFFF"/>
        </w:rPr>
        <w:t>确保完成全年收支任务</w:t>
      </w:r>
      <w:r>
        <w:rPr>
          <w:rFonts w:hint="eastAsia" w:ascii="楷体" w:hAnsi="楷体" w:eastAsia="楷体" w:cs="楷体"/>
          <w:b/>
          <w:bCs/>
          <w:i w:val="0"/>
          <w:caps w:val="0"/>
          <w:color w:val="auto"/>
          <w:spacing w:val="0"/>
          <w:sz w:val="32"/>
          <w:szCs w:val="32"/>
        </w:rPr>
        <w:t>。</w:t>
      </w:r>
      <w:r>
        <w:rPr>
          <w:rFonts w:hint="eastAsia" w:ascii="仿宋" w:hAnsi="仿宋" w:eastAsia="仿宋" w:cs="仿宋"/>
          <w:b/>
          <w:bCs/>
          <w:i w:val="0"/>
          <w:caps w:val="0"/>
          <w:color w:val="auto"/>
          <w:spacing w:val="0"/>
          <w:sz w:val="32"/>
          <w:szCs w:val="32"/>
          <w:lang w:eastAsia="zh-CN"/>
        </w:rPr>
        <w:t>一是</w:t>
      </w:r>
      <w:r>
        <w:rPr>
          <w:rFonts w:hint="eastAsia" w:ascii="仿宋" w:hAnsi="仿宋" w:eastAsia="仿宋" w:cs="仿宋"/>
          <w:b/>
          <w:bCs/>
          <w:i w:val="0"/>
          <w:caps w:val="0"/>
          <w:color w:val="auto"/>
          <w:spacing w:val="0"/>
          <w:sz w:val="32"/>
          <w:szCs w:val="32"/>
          <w:lang w:val="en-US" w:eastAsia="zh-CN"/>
        </w:rPr>
        <w:t>加强</w:t>
      </w:r>
      <w:r>
        <w:rPr>
          <w:rFonts w:hint="eastAsia" w:ascii="仿宋" w:hAnsi="仿宋" w:eastAsia="仿宋" w:cs="仿宋"/>
          <w:b/>
          <w:bCs/>
          <w:i w:val="0"/>
          <w:caps w:val="0"/>
          <w:color w:val="auto"/>
          <w:spacing w:val="0"/>
          <w:sz w:val="32"/>
          <w:szCs w:val="32"/>
        </w:rPr>
        <w:t>与税务</w:t>
      </w:r>
      <w:r>
        <w:rPr>
          <w:rFonts w:hint="eastAsia" w:ascii="仿宋" w:hAnsi="仿宋" w:eastAsia="仿宋" w:cs="仿宋"/>
          <w:b/>
          <w:bCs/>
          <w:i w:val="0"/>
          <w:caps w:val="0"/>
          <w:color w:val="auto"/>
          <w:spacing w:val="0"/>
          <w:sz w:val="32"/>
          <w:szCs w:val="32"/>
          <w:lang w:val="en-US" w:eastAsia="zh-CN"/>
        </w:rPr>
        <w:t>和其他涉税相关</w:t>
      </w:r>
      <w:r>
        <w:rPr>
          <w:rFonts w:hint="eastAsia" w:ascii="仿宋" w:hAnsi="仿宋" w:eastAsia="仿宋" w:cs="仿宋"/>
          <w:b/>
          <w:bCs/>
          <w:i w:val="0"/>
          <w:caps w:val="0"/>
          <w:color w:val="auto"/>
          <w:spacing w:val="0"/>
          <w:sz w:val="32"/>
          <w:szCs w:val="32"/>
        </w:rPr>
        <w:t>部门</w:t>
      </w:r>
      <w:r>
        <w:rPr>
          <w:rFonts w:hint="eastAsia" w:ascii="仿宋" w:hAnsi="仿宋" w:eastAsia="仿宋" w:cs="仿宋"/>
          <w:b/>
          <w:bCs/>
          <w:i w:val="0"/>
          <w:caps w:val="0"/>
          <w:color w:val="auto"/>
          <w:spacing w:val="0"/>
          <w:sz w:val="32"/>
          <w:szCs w:val="32"/>
          <w:lang w:val="en-US" w:eastAsia="zh-CN"/>
        </w:rPr>
        <w:t>的</w:t>
      </w:r>
      <w:r>
        <w:rPr>
          <w:rFonts w:hint="eastAsia" w:ascii="仿宋" w:hAnsi="仿宋" w:eastAsia="仿宋" w:cs="仿宋"/>
          <w:b/>
          <w:bCs/>
          <w:i w:val="0"/>
          <w:caps w:val="0"/>
          <w:color w:val="auto"/>
          <w:spacing w:val="0"/>
          <w:sz w:val="32"/>
          <w:szCs w:val="32"/>
        </w:rPr>
        <w:t>联系</w:t>
      </w:r>
      <w:r>
        <w:rPr>
          <w:rFonts w:hint="eastAsia" w:ascii="仿宋" w:hAnsi="仿宋" w:eastAsia="仿宋" w:cs="仿宋"/>
          <w:b/>
          <w:bCs/>
          <w:i w:val="0"/>
          <w:caps w:val="0"/>
          <w:color w:val="auto"/>
          <w:spacing w:val="0"/>
          <w:sz w:val="32"/>
          <w:szCs w:val="32"/>
          <w:lang w:eastAsia="zh-CN"/>
        </w:rPr>
        <w:t>。</w:t>
      </w:r>
      <w:r>
        <w:rPr>
          <w:rFonts w:hint="eastAsia" w:ascii="仿宋" w:hAnsi="仿宋" w:eastAsia="仿宋" w:cs="仿宋"/>
          <w:b w:val="0"/>
          <w:bCs w:val="0"/>
          <w:i w:val="0"/>
          <w:caps w:val="0"/>
          <w:color w:val="auto"/>
          <w:spacing w:val="0"/>
          <w:sz w:val="32"/>
          <w:szCs w:val="32"/>
          <w:lang w:val="en-US" w:eastAsia="zh-CN"/>
        </w:rPr>
        <w:t>全力推进镇（街道、管理处）财政体制调整，全面实施综合治税，</w:t>
      </w:r>
      <w:r>
        <w:rPr>
          <w:rFonts w:hint="eastAsia" w:ascii="仿宋" w:hAnsi="仿宋" w:eastAsia="仿宋" w:cs="仿宋"/>
          <w:i w:val="0"/>
          <w:caps w:val="0"/>
          <w:color w:val="auto"/>
          <w:spacing w:val="0"/>
          <w:sz w:val="32"/>
          <w:szCs w:val="32"/>
        </w:rPr>
        <w:t>完善财政收入互动机制，增强组织收入主动性。</w:t>
      </w:r>
      <w:r>
        <w:rPr>
          <w:rFonts w:hint="eastAsia" w:ascii="仿宋" w:hAnsi="仿宋" w:eastAsia="仿宋" w:cs="仿宋"/>
          <w:b/>
          <w:bCs/>
          <w:i w:val="0"/>
          <w:caps w:val="0"/>
          <w:color w:val="auto"/>
          <w:spacing w:val="0"/>
          <w:sz w:val="32"/>
          <w:szCs w:val="32"/>
          <w:lang w:eastAsia="zh-CN"/>
        </w:rPr>
        <w:t>二是</w:t>
      </w:r>
      <w:r>
        <w:rPr>
          <w:rFonts w:hint="eastAsia" w:ascii="仿宋" w:hAnsi="仿宋" w:eastAsia="仿宋" w:cs="仿宋"/>
          <w:b/>
          <w:bCs/>
          <w:i w:val="0"/>
          <w:caps w:val="0"/>
          <w:color w:val="auto"/>
          <w:spacing w:val="0"/>
          <w:sz w:val="32"/>
          <w:szCs w:val="32"/>
          <w:lang w:val="en-US" w:eastAsia="zh-CN"/>
        </w:rPr>
        <w:t>精准有效落实财政政策。</w:t>
      </w:r>
      <w:r>
        <w:rPr>
          <w:rFonts w:hint="eastAsia" w:ascii="仿宋" w:hAnsi="仿宋" w:eastAsia="仿宋" w:cs="仿宋"/>
          <w:b w:val="0"/>
          <w:bCs w:val="0"/>
          <w:i w:val="0"/>
          <w:caps w:val="0"/>
          <w:color w:val="auto"/>
          <w:spacing w:val="0"/>
          <w:sz w:val="32"/>
          <w:szCs w:val="32"/>
          <w:lang w:val="en-US" w:eastAsia="zh-CN"/>
        </w:rPr>
        <w:t>继续</w:t>
      </w:r>
      <w:r>
        <w:rPr>
          <w:rFonts w:hint="eastAsia" w:ascii="仿宋" w:hAnsi="仿宋" w:eastAsia="仿宋" w:cs="仿宋"/>
          <w:b w:val="0"/>
          <w:bCs w:val="0"/>
          <w:i w:val="0"/>
          <w:caps w:val="0"/>
          <w:color w:val="auto"/>
          <w:spacing w:val="0"/>
          <w:sz w:val="32"/>
          <w:szCs w:val="32"/>
          <w:lang w:eastAsia="zh-CN"/>
        </w:rPr>
        <w:t>落实落细</w:t>
      </w:r>
      <w:r>
        <w:rPr>
          <w:rFonts w:hint="eastAsia" w:ascii="仿宋" w:hAnsi="仿宋" w:eastAsia="仿宋" w:cs="仿宋"/>
          <w:b w:val="0"/>
          <w:bCs w:val="0"/>
          <w:i w:val="0"/>
          <w:caps w:val="0"/>
          <w:color w:val="auto"/>
          <w:spacing w:val="0"/>
          <w:sz w:val="32"/>
          <w:szCs w:val="32"/>
        </w:rPr>
        <w:t>减税降费政策</w:t>
      </w:r>
      <w:r>
        <w:rPr>
          <w:rFonts w:hint="eastAsia" w:ascii="仿宋" w:hAnsi="仿宋" w:eastAsia="仿宋" w:cs="仿宋"/>
          <w:b w:val="0"/>
          <w:bCs w:val="0"/>
          <w:i w:val="0"/>
          <w:caps w:val="0"/>
          <w:color w:val="auto"/>
          <w:spacing w:val="0"/>
          <w:sz w:val="32"/>
          <w:szCs w:val="32"/>
          <w:lang w:eastAsia="zh-CN"/>
        </w:rPr>
        <w:t>，</w:t>
      </w:r>
      <w:r>
        <w:rPr>
          <w:rFonts w:hint="eastAsia" w:ascii="仿宋" w:hAnsi="仿宋" w:eastAsia="仿宋" w:cs="仿宋"/>
          <w:i w:val="0"/>
          <w:caps w:val="0"/>
          <w:color w:val="auto"/>
          <w:spacing w:val="0"/>
          <w:sz w:val="32"/>
          <w:szCs w:val="32"/>
          <w:lang w:val="en-US" w:eastAsia="zh-CN"/>
        </w:rPr>
        <w:t>持续提升</w:t>
      </w:r>
      <w:r>
        <w:rPr>
          <w:rFonts w:hint="eastAsia" w:ascii="仿宋" w:hAnsi="仿宋" w:eastAsia="仿宋" w:cs="仿宋"/>
          <w:i w:val="0"/>
          <w:caps w:val="0"/>
          <w:color w:val="auto"/>
          <w:spacing w:val="0"/>
          <w:sz w:val="32"/>
          <w:szCs w:val="32"/>
        </w:rPr>
        <w:t>营商环境</w:t>
      </w:r>
      <w:r>
        <w:rPr>
          <w:rFonts w:hint="eastAsia" w:ascii="仿宋" w:hAnsi="仿宋" w:eastAsia="仿宋" w:cs="仿宋"/>
          <w:i w:val="0"/>
          <w:caps w:val="0"/>
          <w:color w:val="auto"/>
          <w:spacing w:val="0"/>
          <w:sz w:val="32"/>
          <w:szCs w:val="32"/>
          <w:lang w:eastAsia="zh-CN"/>
        </w:rPr>
        <w:t>，</w:t>
      </w:r>
      <w:r>
        <w:rPr>
          <w:rFonts w:hint="eastAsia" w:ascii="仿宋" w:hAnsi="仿宋" w:eastAsia="仿宋" w:cs="仿宋"/>
          <w:i w:val="0"/>
          <w:caps w:val="0"/>
          <w:color w:val="auto"/>
          <w:spacing w:val="0"/>
          <w:sz w:val="32"/>
          <w:szCs w:val="32"/>
          <w:lang w:val="en-US" w:eastAsia="zh-CN"/>
        </w:rPr>
        <w:t>足额安排兑现政策资金</w:t>
      </w:r>
      <w:r>
        <w:rPr>
          <w:rFonts w:hint="eastAsia" w:ascii="仿宋" w:hAnsi="仿宋" w:eastAsia="仿宋" w:cs="仿宋"/>
          <w:i w:val="0"/>
          <w:caps w:val="0"/>
          <w:color w:val="auto"/>
          <w:spacing w:val="0"/>
          <w:sz w:val="32"/>
          <w:szCs w:val="32"/>
        </w:rPr>
        <w:t>，</w:t>
      </w:r>
      <w:r>
        <w:rPr>
          <w:rFonts w:hint="eastAsia" w:ascii="仿宋_GB2312" w:hAnsi="仿宋_GB2312" w:eastAsia="仿宋_GB2312" w:cs="仿宋_GB2312"/>
          <w:color w:val="222222"/>
          <w:sz w:val="32"/>
          <w:szCs w:val="32"/>
        </w:rPr>
        <w:t>充分发挥财政杠杆作用，</w:t>
      </w:r>
      <w:r>
        <w:rPr>
          <w:rFonts w:hint="eastAsia" w:ascii="仿宋_GB2312" w:hAnsi="仿宋_GB2312" w:eastAsia="仿宋_GB2312" w:cs="仿宋_GB2312"/>
          <w:sz w:val="32"/>
          <w:szCs w:val="32"/>
          <w:shd w:val="clear" w:color="auto" w:fill="FFFFFF"/>
        </w:rPr>
        <w:t>培育经济发展新动能</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进一步做强做优金融、商贸、总部楼宇经济</w:t>
      </w:r>
      <w:r>
        <w:rPr>
          <w:rFonts w:hint="eastAsia" w:ascii="仿宋_GB2312" w:hAnsi="仿宋_GB2312" w:eastAsia="仿宋_GB2312" w:cs="仿宋_GB2312"/>
          <w:sz w:val="32"/>
          <w:szCs w:val="32"/>
          <w:shd w:val="clear" w:color="auto" w:fill="FFFFFF"/>
          <w:lang w:eastAsia="zh-CN"/>
        </w:rPr>
        <w:t>，</w:t>
      </w:r>
      <w:r>
        <w:rPr>
          <w:rFonts w:hint="eastAsia" w:ascii="仿宋" w:hAnsi="仿宋" w:eastAsia="仿宋" w:cs="仿宋"/>
          <w:i w:val="0"/>
          <w:caps w:val="0"/>
          <w:color w:val="auto"/>
          <w:spacing w:val="0"/>
          <w:sz w:val="32"/>
          <w:szCs w:val="32"/>
        </w:rPr>
        <w:t>促进经济高质量发展。</w:t>
      </w:r>
      <w:r>
        <w:rPr>
          <w:rFonts w:hint="eastAsia" w:ascii="仿宋" w:hAnsi="仿宋" w:eastAsia="仿宋" w:cs="仿宋"/>
          <w:b/>
          <w:bCs/>
          <w:i w:val="0"/>
          <w:caps w:val="0"/>
          <w:color w:val="auto"/>
          <w:spacing w:val="0"/>
          <w:sz w:val="32"/>
          <w:szCs w:val="32"/>
          <w:lang w:eastAsia="zh-CN"/>
        </w:rPr>
        <w:t>三是</w:t>
      </w:r>
      <w:r>
        <w:rPr>
          <w:rFonts w:hint="eastAsia" w:ascii="仿宋" w:hAnsi="仿宋" w:eastAsia="仿宋" w:cs="仿宋"/>
          <w:b/>
          <w:bCs/>
          <w:i w:val="0"/>
          <w:caps w:val="0"/>
          <w:color w:val="auto"/>
          <w:spacing w:val="0"/>
          <w:sz w:val="32"/>
          <w:szCs w:val="32"/>
          <w:lang w:val="en-US" w:eastAsia="zh-CN"/>
        </w:rPr>
        <w:t>全方位支持科技创新，扶持产业发展</w:t>
      </w:r>
      <w:r>
        <w:rPr>
          <w:rFonts w:hint="eastAsia" w:ascii="仿宋" w:hAnsi="仿宋" w:eastAsia="仿宋" w:cs="仿宋"/>
          <w:b/>
          <w:bCs/>
          <w:i w:val="0"/>
          <w:caps w:val="0"/>
          <w:color w:val="auto"/>
          <w:spacing w:val="0"/>
          <w:sz w:val="32"/>
          <w:szCs w:val="32"/>
          <w:lang w:eastAsia="zh-CN"/>
        </w:rPr>
        <w:t>。</w:t>
      </w:r>
      <w:r>
        <w:rPr>
          <w:rFonts w:hint="eastAsia" w:ascii="仿宋" w:hAnsi="仿宋" w:eastAsia="仿宋" w:cs="仿宋"/>
          <w:b w:val="0"/>
          <w:bCs w:val="0"/>
          <w:i w:val="0"/>
          <w:caps w:val="0"/>
          <w:color w:val="auto"/>
          <w:spacing w:val="0"/>
          <w:sz w:val="32"/>
          <w:szCs w:val="32"/>
          <w:lang w:val="en-US" w:eastAsia="zh-CN"/>
        </w:rPr>
        <w:t>安排1.22亿元用于支持科技创新，安排3000万元用于支持会展业发展，安排1100万元用于支持传统消费升级发展，</w:t>
      </w:r>
      <w:r>
        <w:rPr>
          <w:rFonts w:hint="eastAsia" w:ascii="仿宋" w:hAnsi="仿宋" w:eastAsia="仿宋" w:cs="仿宋"/>
          <w:i w:val="0"/>
          <w:caps w:val="0"/>
          <w:color w:val="auto"/>
          <w:spacing w:val="0"/>
          <w:sz w:val="32"/>
          <w:szCs w:val="32"/>
        </w:rPr>
        <w:t>提高政策扶持的精准度，</w:t>
      </w:r>
      <w:r>
        <w:rPr>
          <w:rFonts w:hint="eastAsia" w:ascii="仿宋_GB2312" w:hAnsi="仿宋_GB2312" w:eastAsia="仿宋_GB2312" w:cs="仿宋_GB2312"/>
          <w:sz w:val="32"/>
          <w:szCs w:val="32"/>
          <w:shd w:val="clear" w:color="auto" w:fill="FFFFFF"/>
          <w:lang w:val="en-US" w:eastAsia="zh-CN"/>
        </w:rPr>
        <w:t>促进</w:t>
      </w:r>
      <w:r>
        <w:rPr>
          <w:rFonts w:hint="eastAsia" w:ascii="仿宋_GB2312" w:hAnsi="仿宋_GB2312" w:eastAsia="仿宋_GB2312" w:cs="仿宋_GB2312"/>
          <w:sz w:val="32"/>
          <w:szCs w:val="32"/>
          <w:shd w:val="clear" w:color="auto" w:fill="FFFFFF"/>
        </w:rPr>
        <w:t>人工智能、大数据、云计算、物联网、VR(AR)等新兴产业发展，</w:t>
      </w:r>
      <w:r>
        <w:rPr>
          <w:rFonts w:hint="eastAsia" w:ascii="仿宋" w:hAnsi="仿宋" w:eastAsia="仿宋" w:cs="仿宋"/>
          <w:i w:val="0"/>
          <w:caps w:val="0"/>
          <w:color w:val="auto"/>
          <w:spacing w:val="0"/>
          <w:sz w:val="32"/>
          <w:szCs w:val="32"/>
        </w:rPr>
        <w:t>加快培植新的经济增长点和财政增收点。</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华文仿宋" w:hAnsi="华文仿宋" w:eastAsia="华文仿宋" w:cs="华文仿宋"/>
          <w:b w:val="0"/>
          <w:bCs w:val="0"/>
          <w:i w:val="0"/>
          <w:caps w:val="0"/>
          <w:color w:val="auto"/>
          <w:spacing w:val="0"/>
          <w:sz w:val="32"/>
          <w:szCs w:val="32"/>
        </w:rPr>
      </w:pPr>
      <w:r>
        <w:rPr>
          <w:rFonts w:hint="eastAsia" w:ascii="楷体" w:hAnsi="楷体" w:eastAsia="楷体" w:cs="楷体"/>
          <w:b/>
          <w:bCs/>
          <w:i w:val="0"/>
          <w:caps w:val="0"/>
          <w:color w:val="auto"/>
          <w:spacing w:val="0"/>
          <w:sz w:val="32"/>
          <w:szCs w:val="32"/>
          <w:lang w:val="en-US" w:eastAsia="zh-CN"/>
        </w:rPr>
        <w:t>2.</w:t>
      </w:r>
      <w:r>
        <w:rPr>
          <w:rFonts w:hint="eastAsia" w:ascii="楷体" w:hAnsi="楷体" w:eastAsia="楷体" w:cs="楷体"/>
          <w:b/>
          <w:bCs/>
          <w:i w:val="0"/>
          <w:caps w:val="0"/>
          <w:color w:val="auto"/>
          <w:spacing w:val="0"/>
          <w:sz w:val="32"/>
          <w:szCs w:val="32"/>
        </w:rPr>
        <w:t>优支出</w:t>
      </w:r>
      <w:r>
        <w:rPr>
          <w:rFonts w:hint="eastAsia" w:ascii="楷体" w:hAnsi="楷体" w:eastAsia="楷体" w:cs="楷体"/>
          <w:b/>
          <w:bCs/>
          <w:i w:val="0"/>
          <w:caps w:val="0"/>
          <w:color w:val="auto"/>
          <w:spacing w:val="0"/>
          <w:sz w:val="32"/>
          <w:szCs w:val="32"/>
          <w:lang w:eastAsia="zh-CN"/>
        </w:rPr>
        <w:t>、</w:t>
      </w:r>
      <w:r>
        <w:rPr>
          <w:rFonts w:hint="eastAsia" w:ascii="楷体" w:hAnsi="楷体" w:eastAsia="楷体" w:cs="楷体"/>
          <w:b/>
          <w:bCs/>
          <w:i w:val="0"/>
          <w:caps w:val="0"/>
          <w:color w:val="auto"/>
          <w:spacing w:val="0"/>
          <w:sz w:val="32"/>
          <w:szCs w:val="32"/>
        </w:rPr>
        <w:t>调结构</w:t>
      </w:r>
      <w:r>
        <w:rPr>
          <w:rFonts w:hint="eastAsia" w:ascii="楷体" w:hAnsi="楷体" w:eastAsia="楷体" w:cs="楷体"/>
          <w:b/>
          <w:bCs/>
          <w:i w:val="0"/>
          <w:caps w:val="0"/>
          <w:color w:val="auto"/>
          <w:spacing w:val="0"/>
          <w:sz w:val="32"/>
          <w:szCs w:val="32"/>
          <w:lang w:eastAsia="zh-CN"/>
        </w:rPr>
        <w:t>，</w:t>
      </w:r>
      <w:r>
        <w:rPr>
          <w:rFonts w:hint="eastAsia" w:ascii="楷体" w:hAnsi="楷体" w:eastAsia="楷体" w:cs="楷体"/>
          <w:b/>
          <w:bCs/>
          <w:i w:val="0"/>
          <w:caps w:val="0"/>
          <w:color w:val="auto"/>
          <w:spacing w:val="0"/>
          <w:sz w:val="32"/>
          <w:szCs w:val="32"/>
          <w:shd w:val="clear" w:color="auto" w:fill="FFFFFF"/>
        </w:rPr>
        <w:t>全力保障重点民生建设</w:t>
      </w:r>
      <w:r>
        <w:rPr>
          <w:rFonts w:hint="eastAsia" w:ascii="楷体" w:hAnsi="楷体" w:eastAsia="楷体" w:cs="楷体"/>
          <w:b/>
          <w:bCs/>
          <w:i w:val="0"/>
          <w:caps w:val="0"/>
          <w:color w:val="auto"/>
          <w:spacing w:val="0"/>
          <w:sz w:val="32"/>
          <w:szCs w:val="32"/>
        </w:rPr>
        <w:t>。</w:t>
      </w:r>
      <w:r>
        <w:rPr>
          <w:rFonts w:hint="eastAsia" w:ascii="仿宋" w:hAnsi="仿宋" w:eastAsia="仿宋" w:cs="仿宋"/>
          <w:b/>
          <w:bCs/>
          <w:i w:val="0"/>
          <w:caps w:val="0"/>
          <w:color w:val="auto"/>
          <w:spacing w:val="0"/>
          <w:sz w:val="32"/>
          <w:szCs w:val="32"/>
          <w:shd w:val="clear" w:color="auto" w:fill="FFFFFF"/>
        </w:rPr>
        <w:t>一是加强预算管理。</w:t>
      </w:r>
      <w:r>
        <w:rPr>
          <w:rFonts w:hint="eastAsia" w:ascii="仿宋" w:hAnsi="仿宋" w:eastAsia="仿宋" w:cs="仿宋"/>
          <w:b w:val="0"/>
          <w:bCs w:val="0"/>
          <w:i w:val="0"/>
          <w:caps w:val="0"/>
          <w:color w:val="auto"/>
          <w:spacing w:val="0"/>
          <w:sz w:val="32"/>
          <w:szCs w:val="32"/>
          <w:shd w:val="clear" w:color="auto" w:fill="FFFFFF"/>
        </w:rPr>
        <w:t>牢固树立用政府“紧日子”换百姓“好日子”思想，按照“当用不省、当省不用”的原则，大力压减一般性支出，</w:t>
      </w:r>
      <w:r>
        <w:rPr>
          <w:rFonts w:hint="eastAsia" w:ascii="仿宋" w:hAnsi="仿宋" w:eastAsia="仿宋" w:cs="仿宋"/>
          <w:b w:val="0"/>
          <w:bCs w:val="0"/>
          <w:i w:val="0"/>
          <w:caps w:val="0"/>
          <w:color w:val="auto"/>
          <w:spacing w:val="0"/>
          <w:sz w:val="32"/>
          <w:szCs w:val="32"/>
          <w:shd w:val="clear" w:color="auto" w:fill="FFFFFF"/>
          <w:lang w:eastAsia="zh-CN"/>
        </w:rPr>
        <w:t>从严控制“三公”经费支出和追加预算，确保“三保”和重点领域支出。强化预算执行，</w:t>
      </w:r>
      <w:r>
        <w:rPr>
          <w:rFonts w:hint="eastAsia" w:ascii="仿宋" w:hAnsi="仿宋" w:eastAsia="仿宋" w:cs="仿宋"/>
          <w:b w:val="0"/>
          <w:bCs w:val="0"/>
          <w:i w:val="0"/>
          <w:caps w:val="0"/>
          <w:color w:val="auto"/>
          <w:spacing w:val="0"/>
          <w:sz w:val="32"/>
          <w:szCs w:val="32"/>
          <w:shd w:val="clear" w:color="auto" w:fill="FFFFFF"/>
        </w:rPr>
        <w:t>尽力做到财政资金早安排、早下达、早支出、早发挥作用。</w:t>
      </w:r>
      <w:r>
        <w:rPr>
          <w:rFonts w:hint="eastAsia" w:ascii="仿宋" w:hAnsi="仿宋" w:eastAsia="仿宋" w:cs="仿宋"/>
          <w:b/>
          <w:bCs/>
          <w:i w:val="0"/>
          <w:caps w:val="0"/>
          <w:color w:val="auto"/>
          <w:spacing w:val="0"/>
          <w:sz w:val="32"/>
          <w:szCs w:val="32"/>
          <w:shd w:val="clear" w:color="auto" w:fill="FFFFFF"/>
        </w:rPr>
        <w:t>二是坚持统筹兼顾。</w:t>
      </w:r>
      <w:r>
        <w:rPr>
          <w:rFonts w:hint="eastAsia" w:ascii="仿宋" w:hAnsi="仿宋" w:eastAsia="仿宋" w:cs="仿宋"/>
          <w:b w:val="0"/>
          <w:bCs w:val="0"/>
          <w:i w:val="0"/>
          <w:caps w:val="0"/>
          <w:color w:val="auto"/>
          <w:spacing w:val="0"/>
          <w:sz w:val="32"/>
          <w:szCs w:val="32"/>
          <w:shd w:val="clear" w:color="auto" w:fill="FFFFFF"/>
        </w:rPr>
        <w:t>进一步统筹财力，做到在保障财政工资发放上“不欠账”，保障行政运行经费上“不断流”，保障基本民生资金上“不断链”。</w:t>
      </w:r>
      <w:r>
        <w:rPr>
          <w:rFonts w:hint="eastAsia" w:ascii="仿宋" w:hAnsi="仿宋" w:eastAsia="仿宋" w:cs="仿宋"/>
          <w:b/>
          <w:bCs/>
          <w:i w:val="0"/>
          <w:caps w:val="0"/>
          <w:color w:val="auto"/>
          <w:spacing w:val="0"/>
          <w:sz w:val="32"/>
          <w:szCs w:val="32"/>
          <w:shd w:val="clear" w:color="auto" w:fill="FFFFFF"/>
        </w:rPr>
        <w:t>三是盘活存量资金。</w:t>
      </w:r>
      <w:r>
        <w:rPr>
          <w:rFonts w:hint="eastAsia" w:ascii="仿宋" w:hAnsi="仿宋" w:eastAsia="仿宋" w:cs="仿宋"/>
          <w:b w:val="0"/>
          <w:bCs w:val="0"/>
          <w:i w:val="0"/>
          <w:caps w:val="0"/>
          <w:color w:val="auto"/>
          <w:spacing w:val="0"/>
          <w:sz w:val="32"/>
          <w:szCs w:val="32"/>
          <w:shd w:val="clear" w:color="auto" w:fill="FFFFFF"/>
        </w:rPr>
        <w:t>强化部门预算执行主体责任，切实加快预算执行进度，防止资金沉淀，完善结转资金清理机制，加强结转资金预算管理。</w:t>
      </w:r>
      <w:r>
        <w:rPr>
          <w:rFonts w:hint="eastAsia" w:ascii="仿宋" w:hAnsi="仿宋" w:eastAsia="仿宋" w:cs="仿宋"/>
          <w:b/>
          <w:bCs/>
          <w:i w:val="0"/>
          <w:caps w:val="0"/>
          <w:color w:val="auto"/>
          <w:spacing w:val="0"/>
          <w:sz w:val="32"/>
          <w:szCs w:val="32"/>
          <w:shd w:val="clear" w:color="auto" w:fill="FFFFFF"/>
        </w:rPr>
        <w:t>四是增进民生福祉。</w:t>
      </w:r>
      <w:r>
        <w:rPr>
          <w:rFonts w:hint="eastAsia" w:ascii="仿宋" w:hAnsi="仿宋" w:eastAsia="仿宋" w:cs="仿宋"/>
          <w:b w:val="0"/>
          <w:bCs w:val="0"/>
          <w:i w:val="0"/>
          <w:caps w:val="0"/>
          <w:color w:val="auto"/>
          <w:spacing w:val="0"/>
          <w:sz w:val="32"/>
          <w:szCs w:val="32"/>
          <w:shd w:val="clear" w:color="auto" w:fill="FFFFFF"/>
        </w:rPr>
        <w:t>坚持以人民为中心，建立健全民生财力保障机制，确保教育、</w:t>
      </w:r>
      <w:r>
        <w:rPr>
          <w:rFonts w:hint="eastAsia" w:ascii="仿宋" w:hAnsi="仿宋" w:eastAsia="仿宋" w:cs="仿宋"/>
          <w:b w:val="0"/>
          <w:bCs w:val="0"/>
          <w:i w:val="0"/>
          <w:caps w:val="0"/>
          <w:color w:val="auto"/>
          <w:spacing w:val="0"/>
          <w:sz w:val="32"/>
          <w:szCs w:val="32"/>
          <w:shd w:val="clear" w:color="auto" w:fill="FFFFFF"/>
          <w:lang w:val="en-US" w:eastAsia="zh-CN"/>
        </w:rPr>
        <w:t>社会保障</w:t>
      </w:r>
      <w:r>
        <w:rPr>
          <w:rFonts w:hint="eastAsia" w:ascii="仿宋" w:hAnsi="仿宋" w:eastAsia="仿宋" w:cs="仿宋"/>
          <w:b w:val="0"/>
          <w:bCs w:val="0"/>
          <w:i w:val="0"/>
          <w:caps w:val="0"/>
          <w:color w:val="auto"/>
          <w:spacing w:val="0"/>
          <w:sz w:val="32"/>
          <w:szCs w:val="32"/>
          <w:shd w:val="clear" w:color="auto" w:fill="FFFFFF"/>
        </w:rPr>
        <w:t>、卫生健康</w:t>
      </w:r>
      <w:r>
        <w:rPr>
          <w:rFonts w:hint="eastAsia" w:ascii="仿宋" w:hAnsi="仿宋" w:eastAsia="仿宋" w:cs="仿宋"/>
          <w:b w:val="0"/>
          <w:bCs w:val="0"/>
          <w:i w:val="0"/>
          <w:caps w:val="0"/>
          <w:color w:val="auto"/>
          <w:spacing w:val="0"/>
          <w:sz w:val="32"/>
          <w:szCs w:val="32"/>
          <w:shd w:val="clear" w:color="auto" w:fill="FFFFFF"/>
          <w:lang w:eastAsia="zh-CN"/>
        </w:rPr>
        <w:t>、</w:t>
      </w:r>
      <w:r>
        <w:rPr>
          <w:rFonts w:hint="eastAsia" w:ascii="仿宋" w:hAnsi="仿宋" w:eastAsia="仿宋" w:cs="仿宋"/>
          <w:b w:val="0"/>
          <w:bCs w:val="0"/>
          <w:i w:val="0"/>
          <w:caps w:val="0"/>
          <w:color w:val="auto"/>
          <w:spacing w:val="0"/>
          <w:sz w:val="32"/>
          <w:szCs w:val="32"/>
          <w:shd w:val="clear" w:color="auto" w:fill="FFFFFF"/>
          <w:lang w:val="en-US" w:eastAsia="zh-CN"/>
        </w:rPr>
        <w:t>乡村振兴</w:t>
      </w:r>
      <w:r>
        <w:rPr>
          <w:rFonts w:hint="eastAsia" w:ascii="仿宋" w:hAnsi="仿宋" w:eastAsia="仿宋" w:cs="仿宋"/>
          <w:b w:val="0"/>
          <w:bCs w:val="0"/>
          <w:i w:val="0"/>
          <w:caps w:val="0"/>
          <w:color w:val="auto"/>
          <w:spacing w:val="0"/>
          <w:sz w:val="32"/>
          <w:szCs w:val="32"/>
          <w:shd w:val="clear" w:color="auto" w:fill="FFFFFF"/>
        </w:rPr>
        <w:t>等基本民生支出保障到位。</w:t>
      </w:r>
    </w:p>
    <w:p>
      <w:pPr>
        <w:pStyle w:val="7"/>
        <w:keepNext w:val="0"/>
        <w:keepLines w:val="0"/>
        <w:widowControl/>
        <w:suppressLineNumbers w:val="0"/>
        <w:spacing w:before="0" w:beforeAutospacing="0" w:after="0" w:afterAutospacing="0" w:line="420" w:lineRule="atLeast"/>
        <w:ind w:right="0" w:firstLine="643" w:firstLineChars="200"/>
        <w:jc w:val="both"/>
        <w:rPr>
          <w:rFonts w:hint="default" w:ascii="仿宋" w:hAnsi="仿宋" w:eastAsia="仿宋" w:cs="仿宋"/>
          <w:b w:val="0"/>
          <w:bCs w:val="0"/>
          <w:i w:val="0"/>
          <w:caps w:val="0"/>
          <w:color w:val="auto"/>
          <w:spacing w:val="0"/>
          <w:sz w:val="32"/>
          <w:szCs w:val="32"/>
          <w:shd w:val="clear" w:color="auto" w:fill="FFFFFF"/>
          <w:lang w:val="en-US" w:eastAsia="zh-CN"/>
        </w:rPr>
      </w:pPr>
      <w:r>
        <w:rPr>
          <w:rFonts w:hint="eastAsia" w:ascii="楷体" w:hAnsi="楷体" w:eastAsia="楷体" w:cs="楷体"/>
          <w:b/>
          <w:bCs/>
          <w:i w:val="0"/>
          <w:caps w:val="0"/>
          <w:color w:val="auto"/>
          <w:spacing w:val="0"/>
          <w:sz w:val="32"/>
          <w:szCs w:val="32"/>
          <w:lang w:val="en-US" w:eastAsia="zh-CN"/>
        </w:rPr>
        <w:t>3.</w:t>
      </w:r>
      <w:r>
        <w:rPr>
          <w:rFonts w:hint="eastAsia" w:ascii="楷体" w:hAnsi="楷体" w:eastAsia="楷体" w:cs="楷体"/>
          <w:b/>
          <w:bCs/>
          <w:i w:val="0"/>
          <w:caps w:val="0"/>
          <w:color w:val="auto"/>
          <w:spacing w:val="0"/>
          <w:sz w:val="32"/>
          <w:szCs w:val="32"/>
        </w:rPr>
        <w:t>抓规范</w:t>
      </w:r>
      <w:r>
        <w:rPr>
          <w:rFonts w:hint="eastAsia" w:ascii="楷体" w:hAnsi="楷体" w:eastAsia="楷体" w:cs="楷体"/>
          <w:b/>
          <w:bCs/>
          <w:i w:val="0"/>
          <w:caps w:val="0"/>
          <w:color w:val="auto"/>
          <w:spacing w:val="0"/>
          <w:sz w:val="32"/>
          <w:szCs w:val="32"/>
          <w:lang w:eastAsia="zh-CN"/>
        </w:rPr>
        <w:t>、</w:t>
      </w:r>
      <w:r>
        <w:rPr>
          <w:rFonts w:hint="eastAsia" w:ascii="楷体" w:hAnsi="楷体" w:eastAsia="楷体" w:cs="楷体"/>
          <w:b/>
          <w:bCs/>
          <w:i w:val="0"/>
          <w:caps w:val="0"/>
          <w:color w:val="auto"/>
          <w:spacing w:val="0"/>
          <w:sz w:val="32"/>
          <w:szCs w:val="32"/>
        </w:rPr>
        <w:t>促改革</w:t>
      </w:r>
      <w:r>
        <w:rPr>
          <w:rFonts w:hint="eastAsia" w:ascii="楷体" w:hAnsi="楷体" w:eastAsia="楷体" w:cs="楷体"/>
          <w:b/>
          <w:bCs/>
          <w:i w:val="0"/>
          <w:caps w:val="0"/>
          <w:color w:val="auto"/>
          <w:spacing w:val="0"/>
          <w:sz w:val="32"/>
          <w:szCs w:val="32"/>
          <w:lang w:eastAsia="zh-CN"/>
        </w:rPr>
        <w:t>，</w:t>
      </w:r>
      <w:r>
        <w:rPr>
          <w:rFonts w:hint="eastAsia" w:ascii="楷体" w:hAnsi="楷体" w:eastAsia="楷体" w:cs="楷体"/>
          <w:b/>
          <w:bCs/>
          <w:i w:val="0"/>
          <w:caps w:val="0"/>
          <w:color w:val="auto"/>
          <w:spacing w:val="0"/>
          <w:sz w:val="32"/>
          <w:szCs w:val="32"/>
          <w:shd w:val="clear" w:color="auto" w:fill="FFFFFF"/>
        </w:rPr>
        <w:t>促进财政管理效能提升</w:t>
      </w:r>
      <w:r>
        <w:rPr>
          <w:rFonts w:hint="eastAsia" w:ascii="楷体" w:hAnsi="楷体" w:eastAsia="楷体" w:cs="楷体"/>
          <w:b/>
          <w:bCs/>
          <w:i w:val="0"/>
          <w:caps w:val="0"/>
          <w:color w:val="auto"/>
          <w:spacing w:val="0"/>
          <w:sz w:val="32"/>
          <w:szCs w:val="32"/>
          <w:shd w:val="clear" w:color="auto" w:fill="FFFFFF"/>
          <w:lang w:eastAsia="zh-CN"/>
        </w:rPr>
        <w:t>。</w:t>
      </w:r>
      <w:r>
        <w:rPr>
          <w:rFonts w:hint="eastAsia" w:ascii="仿宋" w:hAnsi="仿宋" w:eastAsia="仿宋" w:cs="仿宋"/>
          <w:b/>
          <w:bCs/>
          <w:i w:val="0"/>
          <w:caps w:val="0"/>
          <w:color w:val="auto"/>
          <w:spacing w:val="0"/>
          <w:sz w:val="32"/>
          <w:szCs w:val="32"/>
          <w:shd w:val="clear" w:color="auto" w:fill="FFFFFF"/>
          <w:lang w:val="en-US" w:eastAsia="zh-CN"/>
        </w:rPr>
        <w:t>一</w:t>
      </w:r>
      <w:r>
        <w:rPr>
          <w:rFonts w:hint="eastAsia" w:ascii="仿宋" w:hAnsi="仿宋" w:eastAsia="仿宋" w:cs="仿宋"/>
          <w:b/>
          <w:bCs/>
          <w:i w:val="0"/>
          <w:caps w:val="0"/>
          <w:color w:val="auto"/>
          <w:spacing w:val="0"/>
          <w:sz w:val="32"/>
          <w:szCs w:val="32"/>
          <w:shd w:val="clear" w:color="auto" w:fill="FFFFFF"/>
        </w:rPr>
        <w:t>是</w:t>
      </w:r>
      <w:r>
        <w:rPr>
          <w:rFonts w:hint="eastAsia" w:ascii="仿宋" w:hAnsi="仿宋" w:eastAsia="仿宋" w:cs="仿宋"/>
          <w:b/>
          <w:bCs/>
          <w:i w:val="0"/>
          <w:caps w:val="0"/>
          <w:color w:val="auto"/>
          <w:spacing w:val="0"/>
          <w:sz w:val="32"/>
          <w:szCs w:val="32"/>
          <w:shd w:val="clear" w:color="auto" w:fill="FFFFFF"/>
          <w:lang w:val="en-US" w:eastAsia="zh-CN"/>
        </w:rPr>
        <w:t>规范预算管理</w:t>
      </w:r>
      <w:r>
        <w:rPr>
          <w:rFonts w:hint="eastAsia" w:ascii="仿宋" w:hAnsi="仿宋" w:eastAsia="仿宋" w:cs="仿宋"/>
          <w:b/>
          <w:bCs/>
          <w:i w:val="0"/>
          <w:caps w:val="0"/>
          <w:color w:val="auto"/>
          <w:spacing w:val="0"/>
          <w:sz w:val="32"/>
          <w:szCs w:val="32"/>
          <w:shd w:val="clear" w:color="auto" w:fill="FFFFFF"/>
        </w:rPr>
        <w:t>。</w:t>
      </w:r>
      <w:r>
        <w:rPr>
          <w:rFonts w:hint="eastAsia" w:ascii="仿宋" w:hAnsi="仿宋" w:eastAsia="仿宋" w:cs="仿宋"/>
          <w:color w:val="000000"/>
          <w:sz w:val="32"/>
          <w:szCs w:val="32"/>
          <w:shd w:val="clear" w:fill="FFFFFF"/>
        </w:rPr>
        <w:t>严格落实预算法及其实施条例，依法依规组织收入，安排支出。严格执行人大批准的预算，坚持先有预算后有支出，强化预算对执行的控制。落实部门和单位预算管理主体责任，推进部门下属单位的预决算公开</w:t>
      </w:r>
      <w:r>
        <w:rPr>
          <w:rFonts w:hint="eastAsia" w:ascii="仿宋" w:hAnsi="仿宋" w:eastAsia="仿宋" w:cs="仿宋"/>
          <w:i w:val="0"/>
          <w:caps w:val="0"/>
          <w:color w:val="auto"/>
          <w:spacing w:val="0"/>
          <w:sz w:val="32"/>
          <w:szCs w:val="32"/>
          <w:shd w:val="clear" w:color="auto" w:fill="FFFFFF"/>
        </w:rPr>
        <w:t>。</w:t>
      </w:r>
      <w:r>
        <w:rPr>
          <w:rFonts w:hint="eastAsia" w:ascii="仿宋" w:hAnsi="仿宋" w:eastAsia="仿宋" w:cs="仿宋"/>
          <w:b/>
          <w:bCs/>
          <w:i w:val="0"/>
          <w:caps w:val="0"/>
          <w:color w:val="auto"/>
          <w:spacing w:val="0"/>
          <w:sz w:val="32"/>
          <w:szCs w:val="32"/>
          <w:shd w:val="clear" w:color="auto" w:fill="FFFFFF"/>
          <w:lang w:val="en-US" w:eastAsia="zh-CN"/>
        </w:rPr>
        <w:t>二</w:t>
      </w:r>
      <w:r>
        <w:rPr>
          <w:rFonts w:hint="eastAsia" w:ascii="仿宋" w:hAnsi="仿宋" w:eastAsia="仿宋" w:cs="仿宋"/>
          <w:b/>
          <w:bCs/>
          <w:i w:val="0"/>
          <w:caps w:val="0"/>
          <w:color w:val="auto"/>
          <w:spacing w:val="0"/>
          <w:sz w:val="32"/>
          <w:szCs w:val="32"/>
          <w:shd w:val="clear" w:color="auto" w:fill="FFFFFF"/>
          <w:lang w:eastAsia="zh-CN"/>
        </w:rPr>
        <w:t>是</w:t>
      </w:r>
      <w:r>
        <w:rPr>
          <w:rFonts w:hint="eastAsia" w:ascii="仿宋" w:hAnsi="仿宋" w:eastAsia="仿宋" w:cs="仿宋"/>
          <w:b/>
          <w:bCs/>
          <w:i w:val="0"/>
          <w:caps w:val="0"/>
          <w:color w:val="auto"/>
          <w:spacing w:val="0"/>
          <w:sz w:val="32"/>
          <w:szCs w:val="32"/>
        </w:rPr>
        <w:t>继续</w:t>
      </w:r>
      <w:r>
        <w:rPr>
          <w:rFonts w:hint="eastAsia" w:ascii="仿宋" w:hAnsi="仿宋" w:eastAsia="仿宋" w:cs="仿宋"/>
          <w:b/>
          <w:bCs/>
          <w:i w:val="0"/>
          <w:caps w:val="0"/>
          <w:color w:val="auto"/>
          <w:spacing w:val="0"/>
          <w:sz w:val="32"/>
          <w:szCs w:val="32"/>
          <w:lang w:val="en-US" w:eastAsia="zh-CN"/>
        </w:rPr>
        <w:t>完善</w:t>
      </w:r>
      <w:r>
        <w:rPr>
          <w:rFonts w:hint="eastAsia" w:ascii="仿宋" w:hAnsi="仿宋" w:eastAsia="仿宋" w:cs="仿宋"/>
          <w:b/>
          <w:bCs/>
          <w:i w:val="0"/>
          <w:caps w:val="0"/>
          <w:color w:val="auto"/>
          <w:spacing w:val="0"/>
          <w:sz w:val="32"/>
          <w:szCs w:val="32"/>
        </w:rPr>
        <w:t>预算管理</w:t>
      </w:r>
      <w:r>
        <w:rPr>
          <w:rFonts w:hint="eastAsia" w:ascii="仿宋" w:hAnsi="仿宋" w:eastAsia="仿宋" w:cs="仿宋"/>
          <w:b/>
          <w:bCs/>
          <w:i w:val="0"/>
          <w:caps w:val="0"/>
          <w:color w:val="auto"/>
          <w:spacing w:val="0"/>
          <w:sz w:val="32"/>
          <w:szCs w:val="32"/>
          <w:lang w:val="en-US" w:eastAsia="zh-CN"/>
        </w:rPr>
        <w:t>一体化系统</w:t>
      </w:r>
      <w:r>
        <w:rPr>
          <w:rFonts w:hint="eastAsia" w:ascii="仿宋" w:hAnsi="仿宋" w:eastAsia="仿宋" w:cs="仿宋"/>
          <w:b/>
          <w:bCs/>
          <w:i w:val="0"/>
          <w:caps w:val="0"/>
          <w:color w:val="auto"/>
          <w:spacing w:val="0"/>
          <w:sz w:val="32"/>
          <w:szCs w:val="32"/>
          <w:lang w:eastAsia="zh-CN"/>
        </w:rPr>
        <w:t>。</w:t>
      </w:r>
      <w:r>
        <w:rPr>
          <w:rFonts w:hint="eastAsia" w:ascii="仿宋" w:hAnsi="仿宋" w:eastAsia="仿宋" w:cs="仿宋"/>
          <w:b w:val="0"/>
          <w:bCs w:val="0"/>
          <w:i w:val="0"/>
          <w:caps w:val="0"/>
          <w:color w:val="auto"/>
          <w:spacing w:val="0"/>
          <w:sz w:val="32"/>
          <w:szCs w:val="32"/>
          <w:lang w:val="en-US" w:eastAsia="zh-CN"/>
        </w:rPr>
        <w:t>通过预算管理一体化系统，加强全口径部门预算全过程管理，完善项目库建设，</w:t>
      </w:r>
      <w:r>
        <w:rPr>
          <w:rFonts w:hint="eastAsia" w:ascii="仿宋" w:hAnsi="仿宋" w:eastAsia="仿宋" w:cs="仿宋"/>
          <w:i w:val="0"/>
          <w:caps w:val="0"/>
          <w:color w:val="auto"/>
          <w:spacing w:val="0"/>
          <w:sz w:val="32"/>
          <w:szCs w:val="32"/>
        </w:rPr>
        <w:t>加强政府投资项目联动审核，提高预算编制的科学性</w:t>
      </w:r>
      <w:r>
        <w:rPr>
          <w:rFonts w:hint="eastAsia" w:ascii="仿宋" w:hAnsi="仿宋" w:eastAsia="仿宋" w:cs="仿宋"/>
          <w:i w:val="0"/>
          <w:caps w:val="0"/>
          <w:color w:val="auto"/>
          <w:spacing w:val="0"/>
          <w:sz w:val="32"/>
          <w:szCs w:val="32"/>
          <w:lang w:eastAsia="zh-CN"/>
        </w:rPr>
        <w:t>、</w:t>
      </w:r>
      <w:r>
        <w:rPr>
          <w:rFonts w:hint="eastAsia" w:ascii="仿宋" w:hAnsi="仿宋" w:eastAsia="仿宋" w:cs="仿宋"/>
          <w:i w:val="0"/>
          <w:caps w:val="0"/>
          <w:color w:val="auto"/>
          <w:spacing w:val="0"/>
          <w:sz w:val="32"/>
          <w:szCs w:val="32"/>
          <w:lang w:val="en-US" w:eastAsia="zh-CN"/>
        </w:rPr>
        <w:t>准确性和</w:t>
      </w:r>
      <w:r>
        <w:rPr>
          <w:rFonts w:hint="eastAsia" w:ascii="仿宋" w:hAnsi="仿宋" w:eastAsia="仿宋" w:cs="仿宋"/>
          <w:i w:val="0"/>
          <w:caps w:val="0"/>
          <w:color w:val="auto"/>
          <w:spacing w:val="0"/>
          <w:sz w:val="32"/>
          <w:szCs w:val="32"/>
        </w:rPr>
        <w:t>前瞻性。</w:t>
      </w:r>
      <w:r>
        <w:rPr>
          <w:rFonts w:hint="eastAsia" w:ascii="仿宋" w:hAnsi="仿宋" w:eastAsia="仿宋" w:cs="仿宋"/>
          <w:i w:val="0"/>
          <w:caps w:val="0"/>
          <w:color w:val="auto"/>
          <w:spacing w:val="0"/>
          <w:sz w:val="32"/>
          <w:szCs w:val="32"/>
          <w:lang w:val="en-US" w:eastAsia="zh-CN"/>
        </w:rPr>
        <w:t>三</w:t>
      </w:r>
      <w:r>
        <w:rPr>
          <w:rFonts w:hint="eastAsia" w:ascii="仿宋" w:hAnsi="仿宋" w:eastAsia="仿宋" w:cs="仿宋"/>
          <w:b/>
          <w:bCs/>
          <w:i w:val="0"/>
          <w:caps w:val="0"/>
          <w:color w:val="auto"/>
          <w:spacing w:val="0"/>
          <w:sz w:val="32"/>
          <w:szCs w:val="32"/>
          <w:lang w:eastAsia="zh-CN"/>
        </w:rPr>
        <w:t>是</w:t>
      </w:r>
      <w:r>
        <w:rPr>
          <w:rFonts w:hint="eastAsia" w:ascii="仿宋" w:hAnsi="仿宋" w:eastAsia="仿宋" w:cs="仿宋"/>
          <w:b/>
          <w:bCs/>
          <w:i w:val="0"/>
          <w:caps w:val="0"/>
          <w:color w:val="auto"/>
          <w:spacing w:val="-5"/>
          <w:sz w:val="32"/>
          <w:szCs w:val="32"/>
          <w:shd w:val="clear" w:color="auto" w:fill="FFFFFF"/>
        </w:rPr>
        <w:t>完善政府采购监管机制</w:t>
      </w:r>
      <w:r>
        <w:rPr>
          <w:rFonts w:hint="eastAsia" w:ascii="仿宋" w:hAnsi="仿宋" w:eastAsia="仿宋" w:cs="仿宋"/>
          <w:b/>
          <w:bCs/>
          <w:i w:val="0"/>
          <w:caps w:val="0"/>
          <w:color w:val="auto"/>
          <w:spacing w:val="-5"/>
          <w:sz w:val="32"/>
          <w:szCs w:val="32"/>
          <w:shd w:val="clear" w:color="auto" w:fill="FFFFFF"/>
          <w:lang w:eastAsia="zh-CN"/>
        </w:rPr>
        <w:t>。</w:t>
      </w:r>
      <w:r>
        <w:rPr>
          <w:rFonts w:hint="eastAsia" w:ascii="仿宋" w:hAnsi="仿宋" w:eastAsia="仿宋"/>
          <w:color w:val="212121"/>
          <w:sz w:val="32"/>
          <w:szCs w:val="32"/>
        </w:rPr>
        <w:t>推动公共资源交易系统中非招标采购方式全流程电子化建设，推动完善交易系统电子化管理功能，将交易相关的采购需求发布、协议代理委托签订、事中当事人之间沟通、合同签订、保证金缴纳退还、合同履约验收等程序全部实现电子化。</w:t>
      </w:r>
      <w:r>
        <w:rPr>
          <w:rFonts w:hint="eastAsia" w:ascii="仿宋" w:hAnsi="仿宋" w:eastAsia="仿宋" w:cs="仿宋"/>
          <w:i w:val="0"/>
          <w:caps w:val="0"/>
          <w:color w:val="auto"/>
          <w:spacing w:val="-5"/>
          <w:sz w:val="32"/>
          <w:szCs w:val="32"/>
          <w:shd w:val="clear" w:color="auto" w:fill="FFFFFF"/>
        </w:rPr>
        <w:t>按照</w:t>
      </w:r>
      <w:r>
        <w:rPr>
          <w:rFonts w:hint="eastAsia" w:ascii="仿宋" w:hAnsi="仿宋" w:eastAsia="仿宋" w:cs="仿宋"/>
          <w:i w:val="0"/>
          <w:caps w:val="0"/>
          <w:color w:val="auto"/>
          <w:spacing w:val="-5"/>
          <w:sz w:val="32"/>
          <w:szCs w:val="32"/>
          <w:shd w:val="clear" w:color="auto" w:fill="FFFFFF"/>
          <w:lang w:val="en-US" w:eastAsia="zh-CN"/>
        </w:rPr>
        <w:t>提升</w:t>
      </w:r>
      <w:r>
        <w:rPr>
          <w:rFonts w:hint="eastAsia" w:ascii="仿宋" w:hAnsi="仿宋" w:eastAsia="仿宋" w:cs="仿宋"/>
          <w:i w:val="0"/>
          <w:caps w:val="0"/>
          <w:color w:val="auto"/>
          <w:spacing w:val="-5"/>
          <w:sz w:val="32"/>
          <w:szCs w:val="32"/>
          <w:shd w:val="clear" w:color="auto" w:fill="FFFFFF"/>
        </w:rPr>
        <w:t>营商环境的工作要求，不断完善政府采购制度建设</w:t>
      </w:r>
      <w:r>
        <w:rPr>
          <w:rFonts w:hint="eastAsia" w:ascii="仿宋" w:hAnsi="仿宋" w:eastAsia="仿宋" w:cs="仿宋"/>
          <w:i w:val="0"/>
          <w:caps w:val="0"/>
          <w:color w:val="auto"/>
          <w:spacing w:val="-5"/>
          <w:sz w:val="32"/>
          <w:szCs w:val="32"/>
          <w:shd w:val="clear" w:color="auto" w:fill="FFFFFF"/>
          <w:lang w:eastAsia="zh-CN"/>
        </w:rPr>
        <w:t>，</w:t>
      </w:r>
      <w:r>
        <w:rPr>
          <w:rFonts w:hint="eastAsia" w:ascii="仿宋" w:hAnsi="仿宋" w:eastAsia="仿宋" w:cs="仿宋"/>
          <w:b w:val="0"/>
          <w:bCs w:val="0"/>
          <w:i w:val="0"/>
          <w:caps w:val="0"/>
          <w:color w:val="auto"/>
          <w:spacing w:val="0"/>
          <w:sz w:val="32"/>
          <w:szCs w:val="32"/>
          <w:shd w:val="clear" w:color="auto" w:fill="FFFFFF"/>
          <w:lang w:eastAsia="zh-CN"/>
        </w:rPr>
        <w:t>推进重点公共服务领域购买服务改革。</w:t>
      </w:r>
      <w:r>
        <w:rPr>
          <w:rFonts w:hint="eastAsia" w:ascii="仿宋" w:hAnsi="仿宋" w:eastAsia="仿宋" w:cs="仿宋"/>
          <w:b w:val="0"/>
          <w:bCs w:val="0"/>
          <w:i w:val="0"/>
          <w:caps w:val="0"/>
          <w:color w:val="auto"/>
          <w:spacing w:val="0"/>
          <w:sz w:val="32"/>
          <w:szCs w:val="32"/>
          <w:shd w:val="clear" w:color="auto" w:fill="FFFFFF"/>
          <w:lang w:val="en-US" w:eastAsia="zh-CN"/>
        </w:rPr>
        <w:t>四是完善财政投资评审制度。</w:t>
      </w:r>
    </w:p>
    <w:p>
      <w:pPr>
        <w:pStyle w:val="7"/>
        <w:keepNext w:val="0"/>
        <w:keepLines w:val="0"/>
        <w:widowControl/>
        <w:suppressLineNumbers w:val="0"/>
        <w:spacing w:before="0" w:beforeAutospacing="0" w:after="0" w:afterAutospacing="0" w:line="420" w:lineRule="atLeast"/>
        <w:ind w:right="0" w:firstLine="643" w:firstLineChars="200"/>
        <w:jc w:val="both"/>
        <w:rPr>
          <w:rFonts w:hint="eastAsia" w:ascii="仿宋" w:hAnsi="仿宋" w:eastAsia="仿宋" w:cs="仿宋"/>
          <w:i w:val="0"/>
          <w:caps w:val="0"/>
          <w:color w:val="auto"/>
          <w:spacing w:val="0"/>
          <w:sz w:val="32"/>
          <w:szCs w:val="32"/>
          <w:shd w:val="clear" w:color="auto" w:fill="FFFFFF"/>
        </w:rPr>
      </w:pPr>
      <w:r>
        <w:rPr>
          <w:rFonts w:hint="eastAsia" w:ascii="楷体" w:hAnsi="楷体" w:eastAsia="楷体" w:cs="楷体"/>
          <w:b/>
          <w:bCs/>
          <w:i w:val="0"/>
          <w:caps w:val="0"/>
          <w:color w:val="auto"/>
          <w:spacing w:val="0"/>
          <w:sz w:val="32"/>
          <w:szCs w:val="32"/>
          <w:lang w:val="en-US" w:eastAsia="zh-CN"/>
        </w:rPr>
        <w:t>4.</w:t>
      </w:r>
      <w:r>
        <w:rPr>
          <w:rFonts w:hint="eastAsia" w:ascii="楷体" w:hAnsi="楷体" w:eastAsia="楷体" w:cs="楷体"/>
          <w:b/>
          <w:bCs/>
          <w:i w:val="0"/>
          <w:caps w:val="0"/>
          <w:color w:val="auto"/>
          <w:spacing w:val="0"/>
          <w:sz w:val="32"/>
          <w:szCs w:val="32"/>
        </w:rPr>
        <w:t>强管理</w:t>
      </w:r>
      <w:r>
        <w:rPr>
          <w:rFonts w:hint="eastAsia" w:ascii="楷体" w:hAnsi="楷体" w:eastAsia="楷体" w:cs="楷体"/>
          <w:b/>
          <w:bCs/>
          <w:i w:val="0"/>
          <w:caps w:val="0"/>
          <w:color w:val="auto"/>
          <w:spacing w:val="0"/>
          <w:sz w:val="32"/>
          <w:szCs w:val="32"/>
          <w:lang w:eastAsia="zh-CN"/>
        </w:rPr>
        <w:t>、</w:t>
      </w:r>
      <w:r>
        <w:rPr>
          <w:rFonts w:hint="eastAsia" w:ascii="楷体" w:hAnsi="楷体" w:eastAsia="楷体" w:cs="楷体"/>
          <w:b/>
          <w:bCs/>
          <w:i w:val="0"/>
          <w:caps w:val="0"/>
          <w:color w:val="auto"/>
          <w:spacing w:val="0"/>
          <w:sz w:val="32"/>
          <w:szCs w:val="32"/>
        </w:rPr>
        <w:t>提绩效</w:t>
      </w:r>
      <w:r>
        <w:rPr>
          <w:rFonts w:hint="eastAsia" w:ascii="楷体" w:hAnsi="楷体" w:eastAsia="楷体" w:cs="楷体"/>
          <w:b/>
          <w:bCs/>
          <w:i w:val="0"/>
          <w:caps w:val="0"/>
          <w:color w:val="auto"/>
          <w:spacing w:val="0"/>
          <w:sz w:val="32"/>
          <w:szCs w:val="32"/>
          <w:lang w:eastAsia="zh-CN"/>
        </w:rPr>
        <w:t>，</w:t>
      </w:r>
      <w:r>
        <w:rPr>
          <w:rFonts w:hint="eastAsia" w:ascii="楷体" w:hAnsi="楷体" w:eastAsia="楷体" w:cs="楷体"/>
          <w:b/>
          <w:bCs/>
          <w:i w:val="0"/>
          <w:caps w:val="0"/>
          <w:color w:val="auto"/>
          <w:spacing w:val="0"/>
          <w:sz w:val="32"/>
          <w:szCs w:val="32"/>
          <w:shd w:val="clear" w:color="auto" w:fill="FFFFFF"/>
        </w:rPr>
        <w:t>推进财政运行安全高效</w:t>
      </w:r>
      <w:r>
        <w:rPr>
          <w:rFonts w:hint="eastAsia" w:ascii="楷体" w:hAnsi="楷体" w:eastAsia="楷体" w:cs="楷体"/>
          <w:b/>
          <w:bCs/>
          <w:i w:val="0"/>
          <w:caps w:val="0"/>
          <w:color w:val="auto"/>
          <w:spacing w:val="0"/>
          <w:sz w:val="32"/>
          <w:szCs w:val="32"/>
          <w:shd w:val="clear" w:color="auto" w:fill="FFFFFF"/>
          <w:lang w:eastAsia="zh-CN"/>
        </w:rPr>
        <w:t>。</w:t>
      </w:r>
      <w:r>
        <w:rPr>
          <w:rFonts w:hint="eastAsia" w:ascii="仿宋" w:hAnsi="仿宋" w:eastAsia="仿宋" w:cs="仿宋"/>
          <w:b/>
          <w:bCs/>
          <w:i w:val="0"/>
          <w:caps w:val="0"/>
          <w:color w:val="auto"/>
          <w:spacing w:val="0"/>
          <w:sz w:val="32"/>
          <w:szCs w:val="32"/>
          <w:shd w:val="clear" w:color="auto" w:fill="FFFFFF"/>
          <w:lang w:val="en-US" w:eastAsia="zh-CN"/>
        </w:rPr>
        <w:t>一</w:t>
      </w:r>
      <w:r>
        <w:rPr>
          <w:rFonts w:hint="eastAsia" w:ascii="仿宋" w:hAnsi="仿宋" w:eastAsia="仿宋" w:cs="仿宋"/>
          <w:b/>
          <w:bCs/>
          <w:i w:val="0"/>
          <w:caps w:val="0"/>
          <w:color w:val="auto"/>
          <w:spacing w:val="0"/>
          <w:sz w:val="32"/>
          <w:szCs w:val="32"/>
          <w:shd w:val="clear" w:color="auto" w:fill="FFFFFF"/>
        </w:rPr>
        <w:t>是全面实施绩效管理。</w:t>
      </w:r>
      <w:r>
        <w:rPr>
          <w:rFonts w:hint="eastAsia" w:ascii="仿宋" w:hAnsi="仿宋" w:eastAsia="仿宋" w:cs="仿宋"/>
          <w:color w:val="000000"/>
          <w:sz w:val="32"/>
          <w:szCs w:val="32"/>
          <w:shd w:val="clear" w:fill="FFFFFF"/>
        </w:rPr>
        <w:t>以全面绩效管理提高财政资金使用效益，将绩效理念和方法融入预算编制、执行和监督全过程，推进预算和绩效管理一体化。健全以绩效为导向的预算分配体系，加强政策和项目事前绩效评估，严格绩效目标管理，提高绩效评价质量，建立预算安排与绩效结果挂钩的激励约束机制。加大绩效信息公开力度，推动绩效目标、绩效评价结果向社会公开。</w:t>
      </w:r>
      <w:r>
        <w:rPr>
          <w:rFonts w:hint="eastAsia" w:ascii="仿宋" w:hAnsi="仿宋" w:eastAsia="仿宋" w:cs="仿宋"/>
          <w:b/>
          <w:bCs/>
          <w:i w:val="0"/>
          <w:caps w:val="0"/>
          <w:color w:val="auto"/>
          <w:spacing w:val="0"/>
          <w:sz w:val="32"/>
          <w:szCs w:val="32"/>
          <w:shd w:val="clear" w:color="auto" w:fill="FFFFFF"/>
          <w:lang w:val="en-US" w:eastAsia="zh-CN"/>
        </w:rPr>
        <w:t>二</w:t>
      </w:r>
      <w:r>
        <w:rPr>
          <w:rFonts w:hint="eastAsia" w:ascii="仿宋" w:hAnsi="仿宋" w:eastAsia="仿宋" w:cs="仿宋"/>
          <w:b/>
          <w:bCs/>
          <w:i w:val="0"/>
          <w:caps w:val="0"/>
          <w:color w:val="auto"/>
          <w:spacing w:val="0"/>
          <w:sz w:val="32"/>
          <w:szCs w:val="32"/>
          <w:shd w:val="clear" w:color="auto" w:fill="FFFFFF"/>
        </w:rPr>
        <w:t>是完善监管机制。</w:t>
      </w:r>
      <w:r>
        <w:rPr>
          <w:rFonts w:hint="eastAsia" w:ascii="仿宋" w:hAnsi="仿宋" w:eastAsia="仿宋" w:cs="仿宋"/>
          <w:color w:val="000000"/>
          <w:sz w:val="32"/>
          <w:szCs w:val="32"/>
          <w:shd w:val="clear" w:fill="FFFFFF"/>
        </w:rPr>
        <w:t>强化财政监督，建立健全以政府财会监督为主导的体系框架，推动财会监督与人大监督、审计监督、统计监督有机贯通、相互协调。</w:t>
      </w:r>
      <w:r>
        <w:rPr>
          <w:rFonts w:hint="eastAsia" w:ascii="仿宋" w:hAnsi="仿宋" w:eastAsia="仿宋" w:cs="仿宋"/>
          <w:i w:val="0"/>
          <w:caps w:val="0"/>
          <w:color w:val="auto"/>
          <w:spacing w:val="0"/>
          <w:sz w:val="32"/>
          <w:szCs w:val="32"/>
          <w:shd w:val="clear" w:color="auto" w:fill="FFFFFF"/>
        </w:rPr>
        <w:t>重点加强</w:t>
      </w:r>
      <w:r>
        <w:rPr>
          <w:rFonts w:hint="eastAsia" w:ascii="仿宋" w:hAnsi="仿宋" w:eastAsia="仿宋" w:cs="仿宋"/>
          <w:i w:val="0"/>
          <w:caps w:val="0"/>
          <w:color w:val="auto"/>
          <w:spacing w:val="0"/>
          <w:sz w:val="32"/>
          <w:szCs w:val="32"/>
          <w:shd w:val="clear" w:color="auto" w:fill="FFFFFF"/>
          <w:lang w:val="en-US" w:eastAsia="zh-CN"/>
        </w:rPr>
        <w:t>乡村振兴</w:t>
      </w:r>
      <w:r>
        <w:rPr>
          <w:rFonts w:hint="eastAsia" w:ascii="仿宋" w:hAnsi="仿宋" w:eastAsia="仿宋" w:cs="仿宋"/>
          <w:i w:val="0"/>
          <w:caps w:val="0"/>
          <w:color w:val="auto"/>
          <w:spacing w:val="0"/>
          <w:sz w:val="32"/>
          <w:szCs w:val="32"/>
          <w:shd w:val="clear" w:color="auto" w:fill="FFFFFF"/>
        </w:rPr>
        <w:t>、卫生健康、教科文体、</w:t>
      </w:r>
      <w:r>
        <w:rPr>
          <w:rFonts w:hint="eastAsia" w:ascii="仿宋" w:hAnsi="仿宋" w:eastAsia="仿宋" w:cs="仿宋"/>
          <w:i w:val="0"/>
          <w:caps w:val="0"/>
          <w:color w:val="auto"/>
          <w:spacing w:val="0"/>
          <w:sz w:val="32"/>
          <w:szCs w:val="32"/>
          <w:shd w:val="clear" w:color="auto" w:fill="FFFFFF"/>
          <w:lang w:val="en-US" w:eastAsia="zh-CN"/>
        </w:rPr>
        <w:t>社会保障、</w:t>
      </w:r>
      <w:r>
        <w:rPr>
          <w:rFonts w:hint="eastAsia" w:ascii="仿宋" w:hAnsi="仿宋" w:eastAsia="仿宋" w:cs="仿宋"/>
          <w:i w:val="0"/>
          <w:caps w:val="0"/>
          <w:color w:val="auto"/>
          <w:spacing w:val="0"/>
          <w:sz w:val="32"/>
          <w:szCs w:val="32"/>
          <w:shd w:val="clear" w:color="auto" w:fill="FFFFFF"/>
        </w:rPr>
        <w:t>生态环保等社会关注度高的专项资金监管，确保重点民生资金发挥实效。</w:t>
      </w:r>
      <w:r>
        <w:rPr>
          <w:rFonts w:hint="eastAsia" w:ascii="仿宋" w:hAnsi="仿宋" w:eastAsia="仿宋" w:cs="仿宋"/>
          <w:b/>
          <w:bCs/>
          <w:i w:val="0"/>
          <w:caps w:val="0"/>
          <w:color w:val="auto"/>
          <w:spacing w:val="0"/>
          <w:sz w:val="32"/>
          <w:szCs w:val="32"/>
          <w:shd w:val="clear" w:color="auto" w:fill="FFFFFF"/>
          <w:lang w:val="en-US" w:eastAsia="zh-CN"/>
        </w:rPr>
        <w:t>三</w:t>
      </w:r>
      <w:r>
        <w:rPr>
          <w:rFonts w:hint="eastAsia" w:ascii="仿宋" w:hAnsi="仿宋" w:eastAsia="仿宋" w:cs="仿宋"/>
          <w:b/>
          <w:bCs/>
          <w:i w:val="0"/>
          <w:caps w:val="0"/>
          <w:color w:val="auto"/>
          <w:spacing w:val="0"/>
          <w:sz w:val="32"/>
          <w:szCs w:val="32"/>
          <w:shd w:val="clear" w:color="auto" w:fill="FFFFFF"/>
          <w:lang w:eastAsia="zh-CN"/>
        </w:rPr>
        <w:t>是</w:t>
      </w:r>
      <w:r>
        <w:rPr>
          <w:rFonts w:hint="eastAsia" w:ascii="仿宋" w:hAnsi="仿宋" w:eastAsia="仿宋" w:cs="仿宋"/>
          <w:b/>
          <w:bCs/>
          <w:i w:val="0"/>
          <w:caps w:val="0"/>
          <w:color w:val="auto"/>
          <w:spacing w:val="0"/>
          <w:sz w:val="32"/>
          <w:szCs w:val="32"/>
          <w:shd w:val="clear" w:color="auto" w:fill="FFFFFF"/>
        </w:rPr>
        <w:t>有效防范化解债务风险</w:t>
      </w:r>
      <w:r>
        <w:rPr>
          <w:rFonts w:hint="eastAsia" w:ascii="仿宋" w:hAnsi="仿宋" w:eastAsia="仿宋" w:cs="仿宋"/>
          <w:b/>
          <w:bCs/>
          <w:i w:val="0"/>
          <w:caps w:val="0"/>
          <w:color w:val="auto"/>
          <w:spacing w:val="0"/>
          <w:sz w:val="32"/>
          <w:szCs w:val="32"/>
          <w:shd w:val="clear" w:color="auto" w:fill="FFFFFF"/>
          <w:lang w:eastAsia="zh-CN"/>
        </w:rPr>
        <w:t>。</w:t>
      </w:r>
      <w:r>
        <w:rPr>
          <w:rFonts w:hint="eastAsia" w:ascii="仿宋" w:hAnsi="仿宋" w:eastAsia="仿宋" w:cs="仿宋"/>
          <w:b w:val="0"/>
          <w:bCs w:val="0"/>
          <w:i w:val="0"/>
          <w:caps w:val="0"/>
          <w:color w:val="auto"/>
          <w:spacing w:val="0"/>
          <w:sz w:val="32"/>
          <w:szCs w:val="32"/>
          <w:shd w:val="clear" w:color="auto" w:fill="FFFFFF"/>
          <w:lang w:val="en-US" w:eastAsia="zh-CN"/>
        </w:rPr>
        <w:t>如期消化隐性债务，</w:t>
      </w:r>
      <w:r>
        <w:rPr>
          <w:rFonts w:hint="eastAsia" w:ascii="仿宋" w:hAnsi="仿宋" w:eastAsia="仿宋" w:cs="仿宋"/>
          <w:i w:val="0"/>
          <w:caps w:val="0"/>
          <w:color w:val="auto"/>
          <w:spacing w:val="0"/>
          <w:sz w:val="32"/>
          <w:szCs w:val="32"/>
          <w:shd w:val="clear" w:color="auto" w:fill="FFFFFF"/>
        </w:rPr>
        <w:t>严禁新增隐性债务，加强风险源头管控，硬化预算约束，管控金融“闸门”。完善偿债预警机制</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rPr>
        <w:t>健全政府性债务风险准备金制度，加强风险准备金管理，切实维护政府信誉，确保不发生逾期债务。积极争取新增债券</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rPr>
        <w:t>主动与上级对接，申报项目资金需求，争取债券资金，探索新的融资渠道，促进地方经济发展。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各位代表，</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2022年经济下行压力能否缓解仍不明朗，国家对房地产行业的调控政策将依然持续，我们面对的情况可能更加复杂，不确定因素和深层次矛盾将进一步显现，要完成2022年的财政收支任务需要付出艰苦努力。为此，我们将在区委的正确领导下，</w:t>
      </w:r>
      <w:r>
        <w:rPr>
          <w:rFonts w:hint="eastAsia" w:ascii="仿宋" w:hAnsi="仿宋" w:eastAsia="仿宋" w:cs="仿宋"/>
          <w:i w:val="0"/>
          <w:caps w:val="0"/>
          <w:color w:val="auto"/>
          <w:spacing w:val="0"/>
          <w:sz w:val="32"/>
          <w:szCs w:val="32"/>
          <w:shd w:val="clear" w:color="auto" w:fill="FFFFFF"/>
          <w:lang w:val="en-US" w:eastAsia="zh-CN"/>
        </w:rPr>
        <w:t>在</w:t>
      </w:r>
      <w:r>
        <w:rPr>
          <w:rFonts w:hint="eastAsia" w:ascii="仿宋" w:hAnsi="仿宋" w:eastAsia="仿宋" w:cs="仿宋"/>
          <w:i w:val="0"/>
          <w:caps w:val="0"/>
          <w:color w:val="auto"/>
          <w:spacing w:val="0"/>
          <w:sz w:val="32"/>
          <w:szCs w:val="32"/>
          <w:shd w:val="clear" w:color="auto" w:fill="FFFFFF"/>
        </w:rPr>
        <w:t>区人大</w:t>
      </w:r>
      <w:r>
        <w:rPr>
          <w:rFonts w:hint="eastAsia" w:ascii="仿宋" w:hAnsi="仿宋" w:eastAsia="仿宋" w:cs="仿宋"/>
          <w:i w:val="0"/>
          <w:caps w:val="0"/>
          <w:color w:val="auto"/>
          <w:spacing w:val="0"/>
          <w:sz w:val="32"/>
          <w:szCs w:val="32"/>
          <w:shd w:val="clear" w:color="auto" w:fill="FFFFFF"/>
          <w:lang w:val="en-US" w:eastAsia="zh-CN"/>
        </w:rPr>
        <w:t>及其</w:t>
      </w:r>
      <w:r>
        <w:rPr>
          <w:rFonts w:hint="eastAsia" w:ascii="仿宋" w:hAnsi="仿宋" w:eastAsia="仿宋" w:cs="仿宋"/>
          <w:i w:val="0"/>
          <w:caps w:val="0"/>
          <w:color w:val="000000" w:themeColor="text1"/>
          <w:spacing w:val="0"/>
          <w:sz w:val="32"/>
          <w:szCs w:val="32"/>
          <w:shd w:val="clear" w:color="auto" w:fill="FFFFFF"/>
          <w:lang w:val="en-US" w:eastAsia="zh-CN"/>
          <w14:textFill>
            <w14:solidFill>
              <w14:schemeClr w14:val="tx1"/>
            </w14:solidFill>
          </w14:textFill>
        </w:rPr>
        <w:t>常委会</w:t>
      </w:r>
      <w:r>
        <w:rPr>
          <w:rFonts w:hint="eastAsia" w:ascii="仿宋" w:hAnsi="仿宋" w:eastAsia="仿宋" w:cs="仿宋"/>
          <w:i w:val="0"/>
          <w:caps w:val="0"/>
          <w:color w:val="auto"/>
          <w:spacing w:val="0"/>
          <w:sz w:val="32"/>
          <w:szCs w:val="32"/>
          <w:shd w:val="clear" w:color="auto" w:fill="FFFFFF"/>
          <w:lang w:val="en-US" w:eastAsia="zh-CN"/>
        </w:rPr>
        <w:t>、</w:t>
      </w:r>
      <w:r>
        <w:rPr>
          <w:rFonts w:hint="eastAsia" w:ascii="仿宋" w:hAnsi="仿宋" w:eastAsia="仿宋" w:cs="仿宋"/>
          <w:i w:val="0"/>
          <w:caps w:val="0"/>
          <w:color w:val="auto"/>
          <w:spacing w:val="0"/>
          <w:sz w:val="32"/>
          <w:szCs w:val="32"/>
          <w:shd w:val="clear" w:color="auto" w:fill="FFFFFF"/>
        </w:rPr>
        <w:t>区政协</w:t>
      </w:r>
      <w:r>
        <w:rPr>
          <w:rFonts w:hint="eastAsia" w:ascii="仿宋" w:hAnsi="仿宋" w:eastAsia="仿宋" w:cs="仿宋"/>
          <w:i w:val="0"/>
          <w:caps w:val="0"/>
          <w:color w:val="auto"/>
          <w:spacing w:val="0"/>
          <w:sz w:val="32"/>
          <w:szCs w:val="32"/>
          <w:shd w:val="clear" w:color="auto" w:fill="FFFFFF"/>
          <w:lang w:val="en-US" w:eastAsia="zh-CN"/>
        </w:rPr>
        <w:t>的</w:t>
      </w:r>
      <w:r>
        <w:rPr>
          <w:rFonts w:hint="eastAsia" w:ascii="仿宋" w:hAnsi="仿宋" w:eastAsia="仿宋" w:cs="仿宋"/>
          <w:i w:val="0"/>
          <w:caps w:val="0"/>
          <w:color w:val="auto"/>
          <w:spacing w:val="0"/>
          <w:sz w:val="32"/>
          <w:szCs w:val="32"/>
          <w:shd w:val="clear" w:color="auto" w:fill="FFFFFF"/>
        </w:rPr>
        <w:t>监督</w:t>
      </w:r>
      <w:r>
        <w:rPr>
          <w:rFonts w:hint="eastAsia" w:ascii="仿宋" w:hAnsi="仿宋" w:eastAsia="仿宋" w:cs="仿宋"/>
          <w:i w:val="0"/>
          <w:caps w:val="0"/>
          <w:color w:val="auto"/>
          <w:spacing w:val="0"/>
          <w:sz w:val="32"/>
          <w:szCs w:val="32"/>
          <w:shd w:val="clear" w:color="auto" w:fill="FFFFFF"/>
          <w:lang w:val="en-US" w:eastAsia="zh-CN"/>
        </w:rPr>
        <w:t>支持下</w:t>
      </w:r>
      <w:r>
        <w:rPr>
          <w:rFonts w:hint="eastAsia" w:ascii="仿宋" w:hAnsi="仿宋" w:eastAsia="仿宋" w:cs="仿宋"/>
          <w:i w:val="0"/>
          <w:caps w:val="0"/>
          <w:color w:val="auto"/>
          <w:spacing w:val="0"/>
          <w:sz w:val="32"/>
          <w:szCs w:val="32"/>
          <w:shd w:val="clear" w:color="auto" w:fill="FFFFFF"/>
        </w:rPr>
        <w:t>，</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深入贯彻党的十九大和各次全会精神，全面落实习近平新时代中国特色社会主义思想，紧紧围绕“全省示范领先、中部比肩赶超、全国进位争先”的奋斗目标，以项目建设为抓手，解放思想，群策群力，真抓实干，为完成全区财政收支预算和各项工作任务，为实现红谷滩区高质量发展，全面建设“社会主义现代化红谷滩”</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提供坚强的财力保障</w:t>
      </w:r>
      <w:r>
        <w:rPr>
          <w:rFonts w:hint="eastAsia" w:ascii="仿宋" w:hAnsi="仿宋" w:eastAsia="仿宋" w:cs="仿宋"/>
          <w:bCs/>
          <w:color w:val="000000" w:themeColor="text1"/>
          <w:sz w:val="32"/>
          <w:szCs w:val="32"/>
          <w:lang w:val="en-US" w:eastAsia="zh-CN"/>
          <w14:textFill>
            <w14:solidFill>
              <w14:schemeClr w14:val="tx1"/>
            </w14:solidFill>
          </w14:textFill>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p>
    <w:p>
      <w:pPr>
        <w:keepNext w:val="0"/>
        <w:keepLines w:val="0"/>
        <w:pageBreakBefore w:val="0"/>
        <w:kinsoku/>
        <w:wordWrap/>
        <w:overflowPunct/>
        <w:topLinePunct w:val="0"/>
        <w:bidi w:val="0"/>
        <w:adjustRightInd/>
        <w:snapToGrid/>
        <w:spacing w:line="560" w:lineRule="exact"/>
        <w:textAlignment w:val="auto"/>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7"/>
        <w:keepNext w:val="0"/>
        <w:keepLines w:val="0"/>
        <w:widowControl/>
        <w:suppressLineNumbers w:val="0"/>
        <w:spacing w:before="0" w:beforeAutospacing="0" w:after="0" w:afterAutospacing="0" w:line="480" w:lineRule="auto"/>
        <w:ind w:left="0" w:right="0"/>
        <w:jc w:val="both"/>
        <w:rPr>
          <w:rFonts w:hint="eastAsia" w:ascii="仿宋" w:hAnsi="仿宋" w:eastAsia="仿宋" w:cs="仿宋"/>
          <w:b/>
          <w:bCs/>
          <w:color w:val="404040"/>
          <w:sz w:val="32"/>
          <w:szCs w:val="32"/>
        </w:rPr>
      </w:pPr>
    </w:p>
    <w:p>
      <w:pPr>
        <w:rPr>
          <w:rFonts w:hint="eastAsia" w:ascii="仿宋" w:hAnsi="仿宋" w:eastAsia="仿宋" w:cs="仿宋"/>
          <w:b/>
          <w:bCs/>
          <w:color w:val="000000" w:themeColor="text1"/>
          <w:sz w:val="44"/>
          <w:szCs w:val="44"/>
          <w14:textFill>
            <w14:solidFill>
              <w14:schemeClr w14:val="tx1"/>
            </w14:solidFill>
          </w14:textFill>
        </w:rPr>
      </w:pPr>
      <w:r>
        <w:rPr>
          <w:rFonts w:hint="eastAsia" w:ascii="仿宋" w:hAnsi="仿宋" w:eastAsia="仿宋" w:cs="仿宋"/>
          <w:b/>
          <w:bCs/>
          <w:color w:val="000000" w:themeColor="text1"/>
          <w:sz w:val="44"/>
          <w:szCs w:val="44"/>
          <w14:textFill>
            <w14:solidFill>
              <w14:schemeClr w14:val="tx1"/>
            </w14:solidFill>
          </w14:textFill>
        </w:rPr>
        <w:br w:type="page"/>
      </w:r>
    </w:p>
    <w:p>
      <w:pPr>
        <w:pStyle w:val="7"/>
        <w:keepNext w:val="0"/>
        <w:keepLines w:val="0"/>
        <w:widowControl/>
        <w:suppressLineNumbers w:val="0"/>
        <w:spacing w:before="0" w:beforeAutospacing="0" w:after="0" w:afterAutospacing="0" w:line="480" w:lineRule="auto"/>
        <w:ind w:left="0" w:right="0"/>
        <w:jc w:val="center"/>
        <w:rPr>
          <w:rFonts w:hint="eastAsia" w:ascii="方正大标宋简体" w:hAnsi="方正大标宋简体" w:eastAsia="方正大标宋简体" w:cs="方正大标宋简体"/>
          <w:b w:val="0"/>
          <w:bCs w:val="0"/>
          <w:color w:val="000000" w:themeColor="text1"/>
          <w:sz w:val="44"/>
          <w:szCs w:val="44"/>
          <w14:textFill>
            <w14:solidFill>
              <w14:schemeClr w14:val="tx1"/>
            </w14:solidFill>
          </w14:textFill>
        </w:rPr>
      </w:pPr>
      <w:r>
        <w:rPr>
          <w:rFonts w:hint="eastAsia" w:ascii="方正大标宋简体" w:hAnsi="方正大标宋简体" w:eastAsia="方正大标宋简体" w:cs="方正大标宋简体"/>
          <w:b w:val="0"/>
          <w:bCs w:val="0"/>
          <w:color w:val="000000" w:themeColor="text1"/>
          <w:sz w:val="44"/>
          <w:szCs w:val="44"/>
          <w14:textFill>
            <w14:solidFill>
              <w14:schemeClr w14:val="tx1"/>
            </w14:solidFill>
          </w14:textFill>
        </w:rPr>
        <w:t>名词解释</w:t>
      </w:r>
    </w:p>
    <w:p>
      <w:pPr>
        <w:pStyle w:val="7"/>
        <w:keepNext w:val="0"/>
        <w:keepLines w:val="0"/>
        <w:widowControl/>
        <w:suppressLineNumbers w:val="0"/>
        <w:spacing w:before="0" w:beforeAutospacing="0" w:after="0" w:afterAutospacing="0" w:line="480" w:lineRule="auto"/>
        <w:ind w:left="0" w:right="0" w:firstLine="42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p>
    <w:p>
      <w:pPr>
        <w:pStyle w:val="7"/>
        <w:keepNext w:val="0"/>
        <w:keepLines w:val="0"/>
        <w:widowControl/>
        <w:suppressLineNumbers w:val="0"/>
        <w:spacing w:before="0" w:beforeAutospacing="0" w:after="0" w:afterAutospacing="0" w:line="480" w:lineRule="auto"/>
        <w:ind w:right="0" w:firstLine="643"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预算</w:t>
      </w:r>
      <w:r>
        <w:rPr>
          <w:rFonts w:hint="eastAsia" w:ascii="仿宋" w:hAnsi="仿宋" w:eastAsia="仿宋" w:cs="仿宋"/>
          <w:color w:val="000000" w:themeColor="text1"/>
          <w:sz w:val="32"/>
          <w:szCs w:val="32"/>
          <w14:textFill>
            <w14:solidFill>
              <w14:schemeClr w14:val="tx1"/>
            </w14:solidFill>
          </w14:textFill>
        </w:rPr>
        <w:t>：指遵循统筹兼顾、勤俭节约、量力而行、讲求绩效和收支平衡的原则编制，经法定程序审核批准的国家年度集中性财政收支计划。政府的全部收入和支出都应当纳入预算，地方各级预算一般不列赤字。</w:t>
      </w:r>
    </w:p>
    <w:p>
      <w:pPr>
        <w:pStyle w:val="7"/>
        <w:keepNext w:val="0"/>
        <w:keepLines w:val="0"/>
        <w:widowControl/>
        <w:suppressLineNumbers w:val="0"/>
        <w:spacing w:before="0" w:beforeAutospacing="0" w:after="0" w:afterAutospacing="0" w:line="480" w:lineRule="auto"/>
        <w:ind w:right="0" w:firstLine="643"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政府预算体系</w:t>
      </w:r>
      <w:r>
        <w:rPr>
          <w:rFonts w:hint="eastAsia" w:ascii="仿宋" w:hAnsi="仿宋" w:eastAsia="仿宋" w:cs="仿宋"/>
          <w:color w:val="000000" w:themeColor="text1"/>
          <w:sz w:val="32"/>
          <w:szCs w:val="32"/>
          <w14:textFill>
            <w14:solidFill>
              <w14:schemeClr w14:val="tx1"/>
            </w14:solidFill>
          </w14:textFill>
        </w:rPr>
        <w:t>：由一般公共预算、政府性基金预算、国有资本经营预算和社会保险基金预算共同组成。四本预算保持完整、独立并相衔接，全面反映政府收支总量、结构和管理活动。</w:t>
      </w:r>
    </w:p>
    <w:p>
      <w:pPr>
        <w:pStyle w:val="7"/>
        <w:keepNext w:val="0"/>
        <w:keepLines w:val="0"/>
        <w:widowControl/>
        <w:suppressLineNumbers w:val="0"/>
        <w:spacing w:before="0" w:beforeAutospacing="0" w:after="0" w:afterAutospacing="0" w:line="480" w:lineRule="auto"/>
        <w:ind w:right="0" w:firstLine="643"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一般公共预算</w:t>
      </w:r>
      <w:r>
        <w:rPr>
          <w:rFonts w:hint="eastAsia" w:ascii="仿宋" w:hAnsi="仿宋" w:eastAsia="仿宋" w:cs="仿宋"/>
          <w:color w:val="000000" w:themeColor="text1"/>
          <w:sz w:val="32"/>
          <w:szCs w:val="32"/>
          <w14:textFill>
            <w14:solidFill>
              <w14:schemeClr w14:val="tx1"/>
            </w14:solidFill>
          </w14:textFill>
        </w:rPr>
        <w:t>：对以税收为主体的财政收入，安排用于保障和改善民生、推动经济社会发展、维护国家安全、维持国家机构正常运转等方面的收支预算。</w:t>
      </w:r>
    </w:p>
    <w:p>
      <w:pPr>
        <w:pStyle w:val="7"/>
        <w:keepNext w:val="0"/>
        <w:keepLines w:val="0"/>
        <w:widowControl/>
        <w:suppressLineNumbers w:val="0"/>
        <w:spacing w:before="0" w:beforeAutospacing="0" w:after="0" w:afterAutospacing="0" w:line="480" w:lineRule="auto"/>
        <w:ind w:right="0" w:firstLine="643"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政府性基金预算</w:t>
      </w:r>
      <w:r>
        <w:rPr>
          <w:rFonts w:hint="eastAsia" w:ascii="仿宋" w:hAnsi="仿宋" w:eastAsia="仿宋" w:cs="仿宋"/>
          <w:color w:val="000000" w:themeColor="text1"/>
          <w:sz w:val="32"/>
          <w:szCs w:val="32"/>
          <w14:textFill>
            <w14:solidFill>
              <w14:schemeClr w14:val="tx1"/>
            </w14:solidFill>
          </w14:textFill>
        </w:rPr>
        <w:t>：对依照法律、行政法规的规定在一定期限内向特定对象征收、收取或者以其他方式筹集的资金，专项用于特定公共事业发展的收支预算。政府性基金预算应当根据基金项目收入情况和实际支出需要，按基金项目编制，做到以收定支。</w:t>
      </w:r>
    </w:p>
    <w:p>
      <w:pPr>
        <w:pStyle w:val="7"/>
        <w:keepNext w:val="0"/>
        <w:keepLines w:val="0"/>
        <w:widowControl/>
        <w:suppressLineNumbers w:val="0"/>
        <w:spacing w:before="0" w:beforeAutospacing="0" w:after="0" w:afterAutospacing="0" w:line="480" w:lineRule="auto"/>
        <w:ind w:right="0" w:firstLine="643"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国有资本经营预算</w:t>
      </w:r>
      <w:r>
        <w:rPr>
          <w:rFonts w:hint="eastAsia" w:ascii="仿宋" w:hAnsi="仿宋" w:eastAsia="仿宋" w:cs="仿宋"/>
          <w:color w:val="000000" w:themeColor="text1"/>
          <w:sz w:val="32"/>
          <w:szCs w:val="32"/>
          <w14:textFill>
            <w14:solidFill>
              <w14:schemeClr w14:val="tx1"/>
            </w14:solidFill>
          </w14:textFill>
        </w:rPr>
        <w:t>：对国有资本收益作为支出安排的收支预算。国有资本经营预算应当按照收支平衡的原则编制，不列赤字，并安排资金调入一般公共预算。</w:t>
      </w:r>
    </w:p>
    <w:p>
      <w:pPr>
        <w:pStyle w:val="7"/>
        <w:keepNext w:val="0"/>
        <w:keepLines w:val="0"/>
        <w:widowControl/>
        <w:suppressLineNumbers w:val="0"/>
        <w:spacing w:before="0" w:beforeAutospacing="0" w:after="0" w:afterAutospacing="0" w:line="480" w:lineRule="auto"/>
        <w:ind w:right="0" w:firstLine="643"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社会保险基金预算</w:t>
      </w:r>
      <w:r>
        <w:rPr>
          <w:rFonts w:hint="eastAsia" w:ascii="仿宋" w:hAnsi="仿宋" w:eastAsia="仿宋" w:cs="仿宋"/>
          <w:color w:val="000000" w:themeColor="text1"/>
          <w:sz w:val="32"/>
          <w:szCs w:val="32"/>
          <w14:textFill>
            <w14:solidFill>
              <w14:schemeClr w14:val="tx1"/>
            </w14:solidFill>
          </w14:textFill>
        </w:rPr>
        <w:t>：对社会保险缴款、一般公共预算安排和其他方式筹集的资金，专项用于社会保险的收支预算。社会保险基金预算应当按照统筹层次和社会保险项目分别编制，做到收支平衡。</w:t>
      </w:r>
    </w:p>
    <w:p>
      <w:pPr>
        <w:pStyle w:val="7"/>
        <w:keepNext w:val="0"/>
        <w:keepLines w:val="0"/>
        <w:widowControl/>
        <w:suppressLineNumbers w:val="0"/>
        <w:spacing w:before="0" w:beforeAutospacing="0" w:after="0" w:afterAutospacing="0" w:line="480" w:lineRule="auto"/>
        <w:ind w:left="0" w:right="0" w:firstLine="42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预算稳定调节基金：指财政通过超收收入和支出预算结余安排的具有储备性质的基金，视预算平衡情况，在安排下年度预算时调入并安排使用，或用于弥补短收年份预算执行的收支缺口。预算稳定调节基金的安排使用接受本级人大及其常委会监督。</w:t>
      </w:r>
    </w:p>
    <w:p>
      <w:pPr>
        <w:pStyle w:val="7"/>
        <w:keepNext w:val="0"/>
        <w:keepLines w:val="0"/>
        <w:widowControl/>
        <w:suppressLineNumbers w:val="0"/>
        <w:spacing w:before="0" w:beforeAutospacing="0" w:after="0" w:afterAutospacing="0" w:line="480" w:lineRule="auto"/>
        <w:ind w:left="0" w:right="0" w:firstLine="42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一般性转移支付</w:t>
      </w:r>
      <w:r>
        <w:rPr>
          <w:rFonts w:hint="eastAsia" w:ascii="仿宋" w:hAnsi="仿宋" w:eastAsia="仿宋" w:cs="仿宋"/>
          <w:color w:val="000000" w:themeColor="text1"/>
          <w:sz w:val="32"/>
          <w:szCs w:val="32"/>
          <w14:textFill>
            <w14:solidFill>
              <w14:schemeClr w14:val="tx1"/>
            </w14:solidFill>
          </w14:textFill>
        </w:rPr>
        <w:t>：指上级政府为均衡地区间基本财力，根据下级政府在组织财政收入能力、必要支出需求、各地自然经济和社会条件差异等因素，按照基本标准和计算方法测算，将其无偿转作下级政府收入来源，并由下级政府统筹安排使用的转移支付。</w:t>
      </w:r>
    </w:p>
    <w:p>
      <w:pPr>
        <w:pStyle w:val="7"/>
        <w:keepNext w:val="0"/>
        <w:keepLines w:val="0"/>
        <w:widowControl/>
        <w:suppressLineNumbers w:val="0"/>
        <w:spacing w:before="0" w:beforeAutospacing="0" w:after="0" w:afterAutospacing="0" w:line="480" w:lineRule="auto"/>
        <w:ind w:right="0" w:firstLine="643"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结余资金</w:t>
      </w:r>
      <w:r>
        <w:rPr>
          <w:rFonts w:hint="eastAsia" w:ascii="仿宋" w:hAnsi="仿宋" w:eastAsia="仿宋" w:cs="仿宋"/>
          <w:color w:val="000000" w:themeColor="text1"/>
          <w:sz w:val="32"/>
          <w:szCs w:val="32"/>
          <w14:textFill>
            <w14:solidFill>
              <w14:schemeClr w14:val="tx1"/>
            </w14:solidFill>
          </w14:textFill>
        </w:rPr>
        <w:t>：指当年预算已执行但工作目标未完成，或者因故未执行，下一年度需要按原用途继续使用的资金。</w:t>
      </w:r>
    </w:p>
    <w:p>
      <w:pPr>
        <w:pStyle w:val="7"/>
        <w:keepNext w:val="0"/>
        <w:keepLines w:val="0"/>
        <w:widowControl/>
        <w:suppressLineNumbers w:val="0"/>
        <w:spacing w:before="0" w:beforeAutospacing="0" w:after="0" w:afterAutospacing="0" w:line="480" w:lineRule="auto"/>
        <w:ind w:right="0" w:firstLine="643"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上解支出</w:t>
      </w:r>
      <w:r>
        <w:rPr>
          <w:rFonts w:hint="eastAsia" w:ascii="仿宋" w:hAnsi="仿宋" w:eastAsia="仿宋" w:cs="仿宋"/>
          <w:color w:val="000000" w:themeColor="text1"/>
          <w:sz w:val="32"/>
          <w:szCs w:val="32"/>
          <w14:textFill>
            <w14:solidFill>
              <w14:schemeClr w14:val="tx1"/>
            </w14:solidFill>
          </w14:textFill>
        </w:rPr>
        <w:t>：指下级政府按照有关法律法规及财政体制规定，按照一定标准和计算方法测算，上交上级政府，并由上级政府统筹安排的资金。</w:t>
      </w:r>
    </w:p>
    <w:p>
      <w:pPr>
        <w:pStyle w:val="7"/>
        <w:keepNext w:val="0"/>
        <w:keepLines w:val="0"/>
        <w:widowControl/>
        <w:suppressLineNumbers w:val="0"/>
        <w:spacing w:before="0" w:beforeAutospacing="0" w:after="0" w:afterAutospacing="0" w:line="480" w:lineRule="auto"/>
        <w:ind w:right="0" w:firstLine="643"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调入（出）资金</w:t>
      </w:r>
      <w:r>
        <w:rPr>
          <w:rFonts w:hint="eastAsia" w:ascii="仿宋" w:hAnsi="仿宋" w:eastAsia="仿宋" w:cs="仿宋"/>
          <w:color w:val="000000" w:themeColor="text1"/>
          <w:sz w:val="32"/>
          <w:szCs w:val="32"/>
          <w14:textFill>
            <w14:solidFill>
              <w14:schemeClr w14:val="tx1"/>
            </w14:solidFill>
          </w14:textFill>
        </w:rPr>
        <w:t>：指不同性质资金之间的调入（出）。</w:t>
      </w:r>
    </w:p>
    <w:p>
      <w:pPr>
        <w:pStyle w:val="7"/>
        <w:keepNext w:val="0"/>
        <w:keepLines w:val="0"/>
        <w:widowControl/>
        <w:suppressLineNumbers w:val="0"/>
        <w:spacing w:before="0" w:beforeAutospacing="0" w:after="0" w:afterAutospacing="0" w:line="480" w:lineRule="auto"/>
        <w:ind w:right="0" w:firstLine="643"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预备费</w:t>
      </w:r>
      <w:r>
        <w:rPr>
          <w:rFonts w:hint="eastAsia" w:ascii="仿宋" w:hAnsi="仿宋" w:eastAsia="仿宋" w:cs="仿宋"/>
          <w:color w:val="000000" w:themeColor="text1"/>
          <w:sz w:val="32"/>
          <w:szCs w:val="32"/>
          <w14:textFill>
            <w14:solidFill>
              <w14:schemeClr w14:val="tx1"/>
            </w14:solidFill>
          </w14:textFill>
        </w:rPr>
        <w:t>：指用于当年预算执行中的自然灾害等突发事件处理增加的支出及其他难以预见的开支。按照新预算法要求，一般公共预算应当按照本级一般公共预算支出额的百分之一至百分之三设置预备费。</w:t>
      </w:r>
    </w:p>
    <w:p>
      <w:pPr>
        <w:pStyle w:val="7"/>
        <w:keepNext w:val="0"/>
        <w:keepLines w:val="0"/>
        <w:widowControl/>
        <w:suppressLineNumbers w:val="0"/>
        <w:spacing w:before="0" w:beforeAutospacing="0" w:after="0" w:afterAutospacing="0" w:line="480" w:lineRule="auto"/>
        <w:ind w:right="0" w:firstLine="643"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部门预算</w:t>
      </w:r>
      <w:r>
        <w:rPr>
          <w:rFonts w:hint="eastAsia" w:ascii="仿宋" w:hAnsi="仿宋" w:eastAsia="仿宋" w:cs="仿宋"/>
          <w:color w:val="000000" w:themeColor="text1"/>
          <w:sz w:val="32"/>
          <w:szCs w:val="32"/>
          <w14:textFill>
            <w14:solidFill>
              <w14:schemeClr w14:val="tx1"/>
            </w14:solidFill>
          </w14:textFill>
        </w:rPr>
        <w:t>:指与财政部门直接发生预算缴、拨款关系的国家机关、社会团体和其他单位，依据国家有关法律、法规规定及其履行职能的需要编制的本部门年度收支计划。部门预算的实施，严格了预算管理，增加了政府工作的透明度，是防止腐败的重要手段和预防措施之一。</w:t>
      </w:r>
    </w:p>
    <w:p>
      <w:pPr>
        <w:pStyle w:val="7"/>
        <w:keepNext w:val="0"/>
        <w:keepLines w:val="0"/>
        <w:widowControl/>
        <w:suppressLineNumbers w:val="0"/>
        <w:spacing w:before="0" w:beforeAutospacing="0" w:after="0" w:afterAutospacing="0" w:line="480" w:lineRule="auto"/>
        <w:ind w:right="0" w:firstLine="643"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预算绩效管理</w:t>
      </w:r>
      <w:r>
        <w:rPr>
          <w:rFonts w:hint="eastAsia" w:ascii="仿宋" w:hAnsi="仿宋" w:eastAsia="仿宋" w:cs="仿宋"/>
          <w:color w:val="000000" w:themeColor="text1"/>
          <w:sz w:val="32"/>
          <w:szCs w:val="32"/>
          <w14:textFill>
            <w14:solidFill>
              <w14:schemeClr w14:val="tx1"/>
            </w14:solidFill>
          </w14:textFill>
        </w:rPr>
        <w:t>：指在预算管理中融入绩效理念，将绩效目标设定、绩效跟踪、绩效评价及结果应用纳入预算编制、执行、监督全过程，以提高预算的经济、社会效益为目的的管理活动。预算绩效管理是一种以资金使用绩效为导向的预算管理模式，要求政府部门不断改进服务水平和质量，有效提高财政资金使用效益，并成为实施行政问责制和加强政府效能建设的重要抓手，是政府绩效管理的重要组成部分。</w:t>
      </w:r>
    </w:p>
    <w:p>
      <w:pPr>
        <w:pStyle w:val="7"/>
        <w:keepNext w:val="0"/>
        <w:keepLines w:val="0"/>
        <w:widowControl/>
        <w:suppressLineNumbers w:val="0"/>
        <w:spacing w:before="0" w:beforeAutospacing="0" w:after="0" w:afterAutospacing="0" w:line="480" w:lineRule="auto"/>
        <w:ind w:right="0" w:firstLine="643"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“三公”经费：</w:t>
      </w:r>
      <w:r>
        <w:rPr>
          <w:rFonts w:hint="eastAsia" w:ascii="仿宋" w:hAnsi="仿宋" w:eastAsia="仿宋" w:cs="仿宋"/>
          <w:color w:val="000000" w:themeColor="text1"/>
          <w:sz w:val="32"/>
          <w:szCs w:val="32"/>
          <w14:textFill>
            <w14:solidFill>
              <w14:schemeClr w14:val="tx1"/>
            </w14:solidFill>
          </w14:textFill>
        </w:rPr>
        <w:t>指因公出国（境）费、公务用车购置及运行维护费和公务接待费。其中，因公出国（境）费反映单位公务出国（境）的国际旅费、国外城市间交通费、住宿费、伙食费、培训费、公杂费等支出；公务用车运行维护费反映单位按规定保留的公务用车租用费、燃料费、维修费、过路过桥费、保险费、安全奖励费用等支出；公务接待费反映单位按规定开支的各类公务接待（含外宾接待）支出。</w:t>
      </w:r>
    </w:p>
    <w:p>
      <w:pPr>
        <w:pStyle w:val="7"/>
        <w:keepNext w:val="0"/>
        <w:keepLines w:val="0"/>
        <w:widowControl/>
        <w:suppressLineNumbers w:val="0"/>
        <w:spacing w:before="0" w:beforeAutospacing="0" w:after="0" w:afterAutospacing="0" w:line="480" w:lineRule="auto"/>
        <w:ind w:right="0" w:firstLine="643"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政府债务</w:t>
      </w:r>
      <w:r>
        <w:rPr>
          <w:rFonts w:hint="eastAsia" w:ascii="仿宋" w:hAnsi="仿宋" w:eastAsia="仿宋" w:cs="仿宋"/>
          <w:color w:val="000000" w:themeColor="text1"/>
          <w:sz w:val="32"/>
          <w:szCs w:val="32"/>
          <w14:textFill>
            <w14:solidFill>
              <w14:schemeClr w14:val="tx1"/>
            </w14:solidFill>
          </w14:textFill>
        </w:rPr>
        <w:t>：指需由财政资金偿还的债务，分为一般债务和专项债务。其中，一般债务是指为没有收益的公益性事业发展举借的、主要以一般公共预算资金偿还的政府债务;专项债务是指为有一定收益的公益性事业发展举借的、主要以对应的政府性基金预算资金或专项收入偿还的政府债务。</w:t>
      </w:r>
    </w:p>
    <w:p>
      <w:pPr>
        <w:pStyle w:val="7"/>
        <w:keepNext w:val="0"/>
        <w:keepLines w:val="0"/>
        <w:widowControl/>
        <w:suppressLineNumbers w:val="0"/>
        <w:spacing w:before="0" w:beforeAutospacing="0" w:after="0" w:afterAutospacing="0" w:line="480" w:lineRule="auto"/>
        <w:ind w:right="0" w:firstLine="640" w:firstLineChars="200"/>
        <w:jc w:val="both"/>
        <w:rPr>
          <w:rFonts w:hint="eastAsia" w:ascii="仿宋" w:hAnsi="仿宋" w:eastAsia="仿宋" w:cs="仿宋"/>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tbl>
      <w:tblPr>
        <w:tblStyle w:val="9"/>
        <w:tblpPr w:vertAnchor="page" w:horzAnchor="page" w:tblpX="1409" w:tblpY="13772"/>
        <w:tblOverlap w:val="never"/>
        <w:tblW w:w="0" w:type="auto"/>
        <w:tblInd w:w="0" w:type="dxa"/>
        <w:tblBorders>
          <w:top w:val="single" w:color="auto" w:sz="8" w:space="0"/>
          <w:left w:val="none" w:color="auto" w:sz="0" w:space="0"/>
          <w:bottom w:val="none" w:color="auto" w:sz="0" w:space="0"/>
          <w:right w:val="none" w:color="auto" w:sz="0" w:space="0"/>
          <w:insideH w:val="single" w:color="auto" w:sz="8" w:space="0"/>
          <w:insideV w:val="none" w:color="auto" w:sz="0" w:space="0"/>
        </w:tblBorders>
        <w:tblLayout w:type="autofit"/>
        <w:tblCellMar>
          <w:top w:w="0" w:type="dxa"/>
          <w:left w:w="0" w:type="dxa"/>
          <w:bottom w:w="0" w:type="dxa"/>
          <w:right w:w="0" w:type="dxa"/>
        </w:tblCellMar>
      </w:tblPr>
      <w:tblGrid>
        <w:gridCol w:w="9061"/>
      </w:tblGrid>
      <w:tr>
        <w:tblPrEx>
          <w:tblBorders>
            <w:top w:val="single" w:color="auto" w:sz="8" w:space="0"/>
            <w:left w:val="none" w:color="auto" w:sz="0" w:space="0"/>
            <w:bottom w:val="none" w:color="auto" w:sz="0" w:space="0"/>
            <w:right w:val="none" w:color="auto" w:sz="0" w:space="0"/>
            <w:insideH w:val="single" w:color="auto" w:sz="8" w:space="0"/>
            <w:insideV w:val="none" w:color="auto" w:sz="0" w:space="0"/>
          </w:tblBorders>
          <w:tblCellMar>
            <w:top w:w="0" w:type="dxa"/>
            <w:left w:w="0" w:type="dxa"/>
            <w:bottom w:w="0" w:type="dxa"/>
            <w:right w:w="0" w:type="dxa"/>
          </w:tblCellMar>
        </w:tblPrEx>
        <w:tc>
          <w:tcPr>
            <w:tcW w:w="9061" w:type="dxa"/>
            <w:tcBorders>
              <w:tl2br w:val="nil"/>
              <w:tr2bl w:val="nil"/>
            </w:tcBorders>
            <w:vAlign w:val="top"/>
          </w:tcPr>
          <w:p>
            <w:pPr>
              <w:keepNext w:val="0"/>
              <w:keepLines w:val="0"/>
              <w:pageBreakBefore w:val="0"/>
              <w:widowControl w:val="0"/>
              <w:kinsoku/>
              <w:wordWrap/>
              <w:overflowPunct/>
              <w:topLinePunct w:val="0"/>
              <w:bidi w:val="0"/>
              <w:snapToGrid/>
              <w:spacing w:line="580" w:lineRule="exact"/>
              <w:jc w:val="both"/>
              <w:textAlignment w:val="auto"/>
              <w:rPr>
                <w:rFonts w:hint="eastAsia" w:ascii="楷体_GB2312" w:eastAsia="楷体_GB2312" w:hAnsiTheme="minorHAnsi" w:cstheme="minorBidi"/>
                <w:sz w:val="32"/>
                <w:vertAlign w:val="baseline"/>
              </w:rPr>
            </w:pPr>
            <w:r>
              <w:rPr>
                <w:rFonts w:hint="eastAsia" w:ascii="仿宋" w:hAnsi="仿宋" w:eastAsia="仿宋" w:cs="仿宋"/>
                <w:sz w:val="32"/>
                <w:szCs w:val="32"/>
              </w:rPr>
              <w:t>区</w:t>
            </w:r>
            <w:r>
              <w:rPr>
                <w:rFonts w:hint="eastAsia" w:ascii="仿宋" w:hAnsi="仿宋" w:eastAsia="仿宋" w:cs="仿宋"/>
                <w:sz w:val="32"/>
                <w:szCs w:val="32"/>
                <w:lang w:val="en-US" w:eastAsia="zh-CN"/>
              </w:rPr>
              <w:t>一</w:t>
            </w:r>
            <w:r>
              <w:rPr>
                <w:rFonts w:hint="eastAsia" w:ascii="仿宋" w:hAnsi="仿宋" w:eastAsia="仿宋" w:cs="仿宋"/>
                <w:sz w:val="32"/>
                <w:szCs w:val="32"/>
              </w:rPr>
              <w:t>届人大</w:t>
            </w:r>
            <w:r>
              <w:rPr>
                <w:rFonts w:hint="eastAsia" w:ascii="仿宋" w:hAnsi="仿宋" w:eastAsia="仿宋" w:cs="仿宋"/>
                <w:sz w:val="32"/>
                <w:szCs w:val="32"/>
                <w:lang w:val="en-US" w:eastAsia="zh-CN"/>
              </w:rPr>
              <w:t>二</w:t>
            </w:r>
            <w:r>
              <w:rPr>
                <w:rFonts w:hint="eastAsia" w:ascii="仿宋" w:hAnsi="仿宋" w:eastAsia="仿宋" w:cs="仿宋"/>
                <w:sz w:val="32"/>
                <w:szCs w:val="32"/>
              </w:rPr>
              <w:t>次会议秘书</w:t>
            </w:r>
            <w:r>
              <w:rPr>
                <w:rFonts w:hint="eastAsia" w:ascii="仿宋" w:hAnsi="仿宋" w:eastAsia="仿宋" w:cs="仿宋"/>
                <w:sz w:val="32"/>
                <w:szCs w:val="32"/>
                <w:lang w:eastAsia="zh-CN"/>
              </w:rPr>
              <w:t>处</w:t>
            </w:r>
            <w:r>
              <w:rPr>
                <w:rFonts w:hint="eastAsia" w:ascii="楷体_GB2312" w:hAnsi="Calibri" w:eastAsia="楷体_GB2312" w:cs="Times New Roman"/>
                <w:b w:val="0"/>
                <w:bCs w:val="0"/>
                <w:spacing w:val="-20"/>
                <w:sz w:val="32"/>
                <w:szCs w:val="32"/>
              </w:rPr>
              <w:t xml:space="preserve">   </w:t>
            </w:r>
            <w:r>
              <w:rPr>
                <w:rFonts w:hint="eastAsia" w:ascii="楷体_GB2312" w:hAnsi="Calibri" w:eastAsia="楷体_GB2312" w:cs="Times New Roman"/>
                <w:b w:val="0"/>
                <w:bCs w:val="0"/>
                <w:spacing w:val="-20"/>
                <w:sz w:val="32"/>
                <w:szCs w:val="32"/>
                <w:lang w:val="en-US" w:eastAsia="zh-CN"/>
              </w:rPr>
              <w:t xml:space="preserve">               </w:t>
            </w: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9</w:t>
            </w:r>
            <w:r>
              <w:rPr>
                <w:rFonts w:hint="eastAsia" w:ascii="仿宋" w:hAnsi="仿宋" w:eastAsia="仿宋" w:cs="仿宋"/>
                <w:sz w:val="32"/>
                <w:szCs w:val="32"/>
              </w:rPr>
              <w:t>日印</w:t>
            </w:r>
            <w:r>
              <w:rPr>
                <w:rFonts w:hint="eastAsia" w:ascii="仿宋" w:hAnsi="仿宋" w:eastAsia="仿宋" w:cs="仿宋"/>
                <w:sz w:val="32"/>
                <w:szCs w:val="32"/>
                <w:lang w:val="en-US" w:eastAsia="zh-CN"/>
              </w:rPr>
              <w:t>发</w:t>
            </w:r>
          </w:p>
        </w:tc>
      </w:tr>
      <w:tr>
        <w:tblPrEx>
          <w:tblBorders>
            <w:top w:val="single" w:color="auto" w:sz="8" w:space="0"/>
            <w:left w:val="none" w:color="auto" w:sz="0" w:space="0"/>
            <w:bottom w:val="none" w:color="auto" w:sz="0" w:space="0"/>
            <w:right w:val="none" w:color="auto" w:sz="0" w:space="0"/>
            <w:insideH w:val="single" w:color="auto" w:sz="8" w:space="0"/>
            <w:insideV w:val="none" w:color="auto" w:sz="0" w:space="0"/>
          </w:tblBorders>
          <w:tblCellMar>
            <w:top w:w="0" w:type="dxa"/>
            <w:left w:w="0" w:type="dxa"/>
            <w:bottom w:w="0" w:type="dxa"/>
            <w:right w:w="0" w:type="dxa"/>
          </w:tblCellMar>
        </w:tblPrEx>
        <w:tc>
          <w:tcPr>
            <w:tcW w:w="906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楷体_GB2312" w:hAnsi="Calibri" w:eastAsia="楷体_GB2312" w:cs="Times New Roman"/>
                <w:kern w:val="0"/>
                <w:sz w:val="32"/>
                <w:szCs w:val="24"/>
                <w:vertAlign w:val="baseline"/>
                <w:lang w:val="en-US" w:eastAsia="zh-CN" w:bidi="ar-SA"/>
              </w:rPr>
            </w:pPr>
            <w:r>
              <w:rPr>
                <w:rFonts w:hint="eastAsia" w:ascii="仿宋" w:hAnsi="仿宋" w:eastAsia="仿宋" w:cs="仿宋"/>
                <w:sz w:val="32"/>
                <w:szCs w:val="32"/>
              </w:rPr>
              <w:t>（共印</w:t>
            </w:r>
            <w:r>
              <w:rPr>
                <w:rFonts w:hint="eastAsia" w:ascii="仿宋" w:hAnsi="仿宋" w:eastAsia="仿宋" w:cs="仿宋"/>
                <w:sz w:val="32"/>
                <w:szCs w:val="32"/>
                <w:lang w:val="en-US" w:eastAsia="zh-CN"/>
              </w:rPr>
              <w:t>500</w:t>
            </w:r>
            <w:r>
              <w:rPr>
                <w:rFonts w:hint="eastAsia" w:ascii="仿宋" w:hAnsi="仿宋" w:eastAsia="仿宋" w:cs="仿宋"/>
                <w:sz w:val="32"/>
                <w:szCs w:val="32"/>
              </w:rPr>
              <w:t>份）</w:t>
            </w:r>
          </w:p>
        </w:tc>
      </w:tr>
    </w:tbl>
    <w:p>
      <w:pPr>
        <w:bidi w:val="0"/>
        <w:rPr>
          <w:lang w:val="en-US" w:eastAsia="zh-CN"/>
        </w:rPr>
      </w:pPr>
    </w:p>
    <w:p>
      <w:pPr>
        <w:tabs>
          <w:tab w:val="left" w:pos="1457"/>
        </w:tabs>
        <w:bidi w:val="0"/>
        <w:jc w:val="left"/>
        <w:rPr>
          <w:lang w:val="en-US" w:eastAsia="zh-CN"/>
        </w:rPr>
      </w:pPr>
    </w:p>
    <w:sectPr>
      <w:footerReference r:id="rId3" w:type="default"/>
      <w:pgSz w:w="11906" w:h="16838"/>
      <w:pgMar w:top="1417" w:right="1236" w:bottom="1417" w:left="1236" w:header="851" w:footer="992" w:gutter="0"/>
      <w:pgBorders w:offsetFrom="page">
        <w:top w:val="none" w:sz="0" w:space="0"/>
        <w:left w:val="none" w:sz="0" w:space="0"/>
        <w:bottom w:val="none" w:sz="0" w:space="0"/>
        <w:right w:val="none" w:sz="0" w:space="0"/>
      </w:pgBorders>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8ABAF163-580E-45C1-87A7-94218D021BB0}"/>
  </w:font>
  <w:font w:name="仿宋">
    <w:panose1 w:val="02010609060101010101"/>
    <w:charset w:val="86"/>
    <w:family w:val="auto"/>
    <w:pitch w:val="default"/>
    <w:sig w:usb0="800002BF" w:usb1="38CF7CFA" w:usb2="00000016" w:usb3="00000000" w:csb0="00040001" w:csb1="00000000"/>
    <w:embedRegular r:id="rId2" w:fontKey="{076EB48D-3D40-4F7F-9C2B-12211E1EB017}"/>
  </w:font>
  <w:font w:name="楷体_GB2312">
    <w:altName w:val="楷体"/>
    <w:panose1 w:val="02010609030101010101"/>
    <w:charset w:val="86"/>
    <w:family w:val="auto"/>
    <w:pitch w:val="default"/>
    <w:sig w:usb0="00000000" w:usb1="00000000" w:usb2="00000000" w:usb3="00000000" w:csb0="00040000" w:csb1="00000000"/>
    <w:embedRegular r:id="rId3" w:fontKey="{78B004A9-A3FD-46EA-8E99-E8959C709874}"/>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方正大标宋简体">
    <w:panose1 w:val="02000000000000000000"/>
    <w:charset w:val="86"/>
    <w:family w:val="auto"/>
    <w:pitch w:val="default"/>
    <w:sig w:usb0="A00002BF" w:usb1="184F6CFA" w:usb2="00000012" w:usb3="00000000" w:csb0="00040001" w:csb1="00000000"/>
    <w:embedRegular r:id="rId4" w:fontKey="{B0CEAD42-DE4D-4030-910A-12E4EFD449C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21EA45"/>
    <w:multiLevelType w:val="singleLevel"/>
    <w:tmpl w:val="C121EA4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hZDA5NDdiZDNhZmUwMDY2Mjg1NmE5ZDA2MTliMjQifQ=="/>
  </w:docVars>
  <w:rsids>
    <w:rsidRoot w:val="00000000"/>
    <w:rsid w:val="00286C53"/>
    <w:rsid w:val="00E27682"/>
    <w:rsid w:val="017C699E"/>
    <w:rsid w:val="0230532A"/>
    <w:rsid w:val="02603640"/>
    <w:rsid w:val="02BA6D76"/>
    <w:rsid w:val="035C7826"/>
    <w:rsid w:val="04DD6A41"/>
    <w:rsid w:val="05333EBB"/>
    <w:rsid w:val="06464A77"/>
    <w:rsid w:val="07B36F95"/>
    <w:rsid w:val="07DF5762"/>
    <w:rsid w:val="08765547"/>
    <w:rsid w:val="08BE2DEA"/>
    <w:rsid w:val="094E1539"/>
    <w:rsid w:val="09A426F2"/>
    <w:rsid w:val="09CB1482"/>
    <w:rsid w:val="09D37BC5"/>
    <w:rsid w:val="0A014251"/>
    <w:rsid w:val="0B342E21"/>
    <w:rsid w:val="0BAD05E8"/>
    <w:rsid w:val="0BD45F48"/>
    <w:rsid w:val="0C221FBD"/>
    <w:rsid w:val="0F5173CD"/>
    <w:rsid w:val="0F836427"/>
    <w:rsid w:val="0F8D6562"/>
    <w:rsid w:val="10116E49"/>
    <w:rsid w:val="1424395D"/>
    <w:rsid w:val="148826F2"/>
    <w:rsid w:val="161B3137"/>
    <w:rsid w:val="1635775C"/>
    <w:rsid w:val="16606148"/>
    <w:rsid w:val="173A779F"/>
    <w:rsid w:val="17CC2342"/>
    <w:rsid w:val="1801092D"/>
    <w:rsid w:val="18AD0CE4"/>
    <w:rsid w:val="1C5D3358"/>
    <w:rsid w:val="1CB735C0"/>
    <w:rsid w:val="1CD72E5F"/>
    <w:rsid w:val="1E1666D1"/>
    <w:rsid w:val="1F55488C"/>
    <w:rsid w:val="21C51466"/>
    <w:rsid w:val="22347097"/>
    <w:rsid w:val="224705F5"/>
    <w:rsid w:val="22841197"/>
    <w:rsid w:val="23EB3B50"/>
    <w:rsid w:val="25DE2BDF"/>
    <w:rsid w:val="2745141A"/>
    <w:rsid w:val="27AA0124"/>
    <w:rsid w:val="28DE3F96"/>
    <w:rsid w:val="29620A13"/>
    <w:rsid w:val="2978780C"/>
    <w:rsid w:val="29940398"/>
    <w:rsid w:val="2A430B32"/>
    <w:rsid w:val="2AAC4FBC"/>
    <w:rsid w:val="2AE8703B"/>
    <w:rsid w:val="2BAF6468"/>
    <w:rsid w:val="2BCC6A04"/>
    <w:rsid w:val="2CBD331F"/>
    <w:rsid w:val="2CC80A91"/>
    <w:rsid w:val="2E253FA1"/>
    <w:rsid w:val="2EA97F22"/>
    <w:rsid w:val="2F9A2D28"/>
    <w:rsid w:val="2FF21F8B"/>
    <w:rsid w:val="302A3C52"/>
    <w:rsid w:val="309C37D8"/>
    <w:rsid w:val="31496A21"/>
    <w:rsid w:val="31CF7D03"/>
    <w:rsid w:val="31FE6A3C"/>
    <w:rsid w:val="322D69C1"/>
    <w:rsid w:val="34535ED6"/>
    <w:rsid w:val="35D22DC1"/>
    <w:rsid w:val="372653F4"/>
    <w:rsid w:val="385C70E1"/>
    <w:rsid w:val="3AD82C28"/>
    <w:rsid w:val="3C57600E"/>
    <w:rsid w:val="3C83726F"/>
    <w:rsid w:val="3F2B2E5C"/>
    <w:rsid w:val="3F9E7EA3"/>
    <w:rsid w:val="3FC147C6"/>
    <w:rsid w:val="40293701"/>
    <w:rsid w:val="41531AA8"/>
    <w:rsid w:val="41C342D1"/>
    <w:rsid w:val="41DD0948"/>
    <w:rsid w:val="425D4DEE"/>
    <w:rsid w:val="428617AE"/>
    <w:rsid w:val="42ED62D3"/>
    <w:rsid w:val="43037000"/>
    <w:rsid w:val="435E1BE2"/>
    <w:rsid w:val="44137F05"/>
    <w:rsid w:val="45420836"/>
    <w:rsid w:val="465E08EF"/>
    <w:rsid w:val="47760C74"/>
    <w:rsid w:val="48A46FA6"/>
    <w:rsid w:val="48B164FA"/>
    <w:rsid w:val="49460271"/>
    <w:rsid w:val="49FA13E1"/>
    <w:rsid w:val="4CB66B41"/>
    <w:rsid w:val="4CF8305C"/>
    <w:rsid w:val="4D20220D"/>
    <w:rsid w:val="4E6A7F2D"/>
    <w:rsid w:val="4EA542FA"/>
    <w:rsid w:val="4EA83795"/>
    <w:rsid w:val="50F65138"/>
    <w:rsid w:val="51A063D0"/>
    <w:rsid w:val="529E36CC"/>
    <w:rsid w:val="542C57C5"/>
    <w:rsid w:val="544624DA"/>
    <w:rsid w:val="550739E1"/>
    <w:rsid w:val="57255B8A"/>
    <w:rsid w:val="57D068CB"/>
    <w:rsid w:val="598F64CD"/>
    <w:rsid w:val="5B157129"/>
    <w:rsid w:val="5B200CDE"/>
    <w:rsid w:val="5B976EFE"/>
    <w:rsid w:val="5C0042CC"/>
    <w:rsid w:val="5D27264B"/>
    <w:rsid w:val="5D346044"/>
    <w:rsid w:val="5D8C2B4C"/>
    <w:rsid w:val="5DF634D1"/>
    <w:rsid w:val="5E7740A2"/>
    <w:rsid w:val="5E9F1C1A"/>
    <w:rsid w:val="5F981E7B"/>
    <w:rsid w:val="60A1795D"/>
    <w:rsid w:val="60FD4102"/>
    <w:rsid w:val="615A3660"/>
    <w:rsid w:val="62053A53"/>
    <w:rsid w:val="626B794B"/>
    <w:rsid w:val="62A12519"/>
    <w:rsid w:val="63083B5A"/>
    <w:rsid w:val="642F520A"/>
    <w:rsid w:val="66A1212A"/>
    <w:rsid w:val="67A152BC"/>
    <w:rsid w:val="688F499D"/>
    <w:rsid w:val="690C2E13"/>
    <w:rsid w:val="6A1156E3"/>
    <w:rsid w:val="6AA706AE"/>
    <w:rsid w:val="6AEE4791"/>
    <w:rsid w:val="6B0F3B19"/>
    <w:rsid w:val="6B495903"/>
    <w:rsid w:val="6C8D1B50"/>
    <w:rsid w:val="6D1C0B90"/>
    <w:rsid w:val="6D474CD9"/>
    <w:rsid w:val="6DCD73EF"/>
    <w:rsid w:val="6E5210EE"/>
    <w:rsid w:val="6F59718C"/>
    <w:rsid w:val="71E6596E"/>
    <w:rsid w:val="72254015"/>
    <w:rsid w:val="728C36F2"/>
    <w:rsid w:val="72DB0508"/>
    <w:rsid w:val="733C6E88"/>
    <w:rsid w:val="73F1027C"/>
    <w:rsid w:val="749671E8"/>
    <w:rsid w:val="77853738"/>
    <w:rsid w:val="778D1E40"/>
    <w:rsid w:val="77952D6C"/>
    <w:rsid w:val="787740C0"/>
    <w:rsid w:val="794B346E"/>
    <w:rsid w:val="7C2C3F4D"/>
    <w:rsid w:val="7C4D101A"/>
    <w:rsid w:val="7C961DA4"/>
    <w:rsid w:val="7D402E5A"/>
    <w:rsid w:val="7E431A8A"/>
    <w:rsid w:val="7E90651E"/>
    <w:rsid w:val="7ECD1AF9"/>
    <w:rsid w:val="7F6B48AC"/>
    <w:rsid w:val="7FEA5BDF"/>
    <w:rsid w:val="7FED7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99"/>
    <w:rPr>
      <w:kern w:val="0"/>
      <w:sz w:val="24"/>
    </w:rPr>
  </w:style>
  <w:style w:type="paragraph" w:styleId="3">
    <w:name w:val="Body Text"/>
    <w:basedOn w:val="1"/>
    <w:next w:val="1"/>
    <w:autoRedefine/>
    <w:qFormat/>
    <w:uiPriority w:val="1"/>
    <w:rPr>
      <w:sz w:val="32"/>
      <w:szCs w:val="32"/>
    </w:rPr>
  </w:style>
  <w:style w:type="paragraph" w:styleId="4">
    <w:name w:val="Plain Text"/>
    <w:basedOn w:val="1"/>
    <w:autoRedefine/>
    <w:qFormat/>
    <w:uiPriority w:val="0"/>
    <w:pPr>
      <w:adjustRightInd/>
      <w:spacing w:line="240" w:lineRule="auto"/>
      <w:textAlignment w:val="auto"/>
    </w:pPr>
    <w:rPr>
      <w:rFonts w:ascii="宋体" w:hAnsi="Courier New" w:cs="Courier New"/>
      <w:kern w:val="2"/>
      <w:szCs w:val="21"/>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qFormat/>
    <w:uiPriority w:val="0"/>
    <w:rPr>
      <w:color w:val="000000"/>
      <w:u w:val="none"/>
    </w:rPr>
  </w:style>
  <w:style w:type="character" w:styleId="12">
    <w:name w:val="Hyperlink"/>
    <w:basedOn w:val="10"/>
    <w:autoRedefine/>
    <w:qFormat/>
    <w:uiPriority w:val="0"/>
    <w:rPr>
      <w:color w:val="000000"/>
      <w:u w:val="none"/>
    </w:rPr>
  </w:style>
  <w:style w:type="paragraph" w:customStyle="1" w:styleId="13">
    <w:name w:val="Body text|1"/>
    <w:basedOn w:val="1"/>
    <w:autoRedefine/>
    <w:qFormat/>
    <w:uiPriority w:val="0"/>
    <w:pPr>
      <w:widowControl w:val="0"/>
      <w:shd w:val="clear" w:color="auto" w:fill="auto"/>
      <w:spacing w:line="403"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over16"/>
    <w:basedOn w:val="10"/>
    <w:autoRedefine/>
    <w:qFormat/>
    <w:uiPriority w:val="0"/>
    <w:rPr>
      <w:shd w:val="clear" w:fill="CE1805"/>
    </w:rPr>
  </w:style>
  <w:style w:type="character" w:customStyle="1" w:styleId="15">
    <w:name w:val="sx"/>
    <w:basedOn w:val="10"/>
    <w:autoRedefine/>
    <w:qFormat/>
    <w:uiPriority w:val="0"/>
    <w:rPr>
      <w:vanish/>
    </w:rPr>
  </w:style>
  <w:style w:type="character" w:customStyle="1" w:styleId="16">
    <w:name w:val="hover24"/>
    <w:basedOn w:val="10"/>
    <w:qFormat/>
    <w:uiPriority w:val="0"/>
    <w:rPr>
      <w:color w:val="5FB878"/>
    </w:rPr>
  </w:style>
  <w:style w:type="character" w:customStyle="1" w:styleId="17">
    <w:name w:val="hover25"/>
    <w:basedOn w:val="10"/>
    <w:qFormat/>
    <w:uiPriority w:val="0"/>
    <w:rPr>
      <w:u w:val="none"/>
    </w:rPr>
  </w:style>
  <w:style w:type="character" w:customStyle="1" w:styleId="18">
    <w:name w:val="hover26"/>
    <w:basedOn w:val="10"/>
    <w:autoRedefine/>
    <w:qFormat/>
    <w:uiPriority w:val="0"/>
    <w:rPr>
      <w:color w:val="5FB878"/>
    </w:rPr>
  </w:style>
  <w:style w:type="character" w:customStyle="1" w:styleId="19">
    <w:name w:val="hover27"/>
    <w:basedOn w:val="10"/>
    <w:autoRedefine/>
    <w:qFormat/>
    <w:uiPriority w:val="0"/>
    <w:rPr>
      <w:color w:val="FFFFFF"/>
    </w:rPr>
  </w:style>
  <w:style w:type="character" w:customStyle="1" w:styleId="20">
    <w:name w:val="layui-this2"/>
    <w:basedOn w:val="10"/>
    <w:autoRedefine/>
    <w:qFormat/>
    <w:uiPriority w:val="0"/>
    <w:rPr>
      <w:bdr w:val="single" w:color="EEEEEE" w:sz="6" w:space="0"/>
      <w:shd w:val="clear" w:fill="FFFFFF"/>
    </w:rPr>
  </w:style>
  <w:style w:type="character" w:customStyle="1" w:styleId="21">
    <w:name w:val="first-child"/>
    <w:basedOn w:val="10"/>
    <w:autoRedefine/>
    <w:qFormat/>
    <w:uiPriority w:val="0"/>
  </w:style>
  <w:style w:type="character" w:customStyle="1" w:styleId="22">
    <w:name w:val="cur"/>
    <w:basedOn w:val="10"/>
    <w:autoRedefine/>
    <w:qFormat/>
    <w:uiPriority w:val="0"/>
  </w:style>
  <w:style w:type="character" w:customStyle="1" w:styleId="23">
    <w:name w:val="cur1"/>
    <w:basedOn w:val="10"/>
    <w:autoRedefine/>
    <w:qFormat/>
    <w:uiPriority w:val="0"/>
  </w:style>
  <w:style w:type="paragraph" w:customStyle="1" w:styleId="24">
    <w:name w:val="Body Text Indent 3"/>
    <w:basedOn w:val="1"/>
    <w:autoRedefine/>
    <w:qFormat/>
    <w:uiPriority w:val="0"/>
    <w:pPr>
      <w:ind w:left="420" w:leftChars="200"/>
    </w:pPr>
    <w:rPr>
      <w:rFonts w:ascii="Calibri" w:hAnsi="Calibri" w:eastAsia="仿宋"/>
      <w:sz w:val="16"/>
      <w:szCs w:val="16"/>
    </w:rPr>
  </w:style>
  <w:style w:type="character" w:customStyle="1" w:styleId="25">
    <w:name w:val="font31"/>
    <w:basedOn w:val="10"/>
    <w:autoRedefine/>
    <w:qFormat/>
    <w:uiPriority w:val="0"/>
    <w:rPr>
      <w:rFonts w:hint="eastAsia" w:ascii="宋体" w:hAnsi="宋体" w:eastAsia="宋体" w:cs="宋体"/>
      <w:color w:val="000000"/>
      <w:sz w:val="22"/>
      <w:szCs w:val="22"/>
      <w:u w:val="none"/>
    </w:rPr>
  </w:style>
  <w:style w:type="character" w:customStyle="1" w:styleId="26">
    <w:name w:val="font71"/>
    <w:basedOn w:val="10"/>
    <w:autoRedefine/>
    <w:qFormat/>
    <w:uiPriority w:val="0"/>
    <w:rPr>
      <w:rFonts w:hint="default" w:ascii="Times New Roman" w:hAnsi="Times New Roman" w:cs="Times New Roman"/>
      <w:color w:val="000000"/>
      <w:sz w:val="22"/>
      <w:szCs w:val="22"/>
      <w:u w:val="none"/>
    </w:rPr>
  </w:style>
  <w:style w:type="character" w:customStyle="1" w:styleId="27">
    <w:name w:val="font41"/>
    <w:basedOn w:val="10"/>
    <w:autoRedefine/>
    <w:qFormat/>
    <w:uiPriority w:val="0"/>
    <w:rPr>
      <w:rFonts w:hint="eastAsia" w:ascii="宋体" w:hAnsi="宋体" w:eastAsia="宋体" w:cs="宋体"/>
      <w:color w:val="000000"/>
      <w:sz w:val="20"/>
      <w:szCs w:val="20"/>
      <w:u w:val="none"/>
    </w:rPr>
  </w:style>
  <w:style w:type="character" w:customStyle="1" w:styleId="28">
    <w:name w:val="font01"/>
    <w:basedOn w:val="10"/>
    <w:autoRedefine/>
    <w:qFormat/>
    <w:uiPriority w:val="0"/>
    <w:rPr>
      <w:rFonts w:hint="default" w:ascii="Times New Roman" w:hAnsi="Times New Roman" w:cs="Times New Roman"/>
      <w:color w:val="000000"/>
      <w:sz w:val="20"/>
      <w:szCs w:val="20"/>
      <w:u w:val="none"/>
    </w:rPr>
  </w:style>
  <w:style w:type="character" w:customStyle="1" w:styleId="29">
    <w:name w:val="font21"/>
    <w:basedOn w:val="10"/>
    <w:autoRedefine/>
    <w:qFormat/>
    <w:uiPriority w:val="0"/>
    <w:rPr>
      <w:rFonts w:hint="default" w:ascii="Times New Roman" w:hAnsi="Times New Roman" w:cs="Times New Roman"/>
      <w:color w:val="000000"/>
      <w:sz w:val="20"/>
      <w:szCs w:val="20"/>
      <w:u w:val="none"/>
    </w:rPr>
  </w:style>
  <w:style w:type="character" w:customStyle="1" w:styleId="30">
    <w:name w:val="font61"/>
    <w:basedOn w:val="10"/>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10462</Words>
  <Characters>11604</Characters>
  <Lines>0</Lines>
  <Paragraphs>0</Paragraphs>
  <TotalTime>17</TotalTime>
  <ScaleCrop>false</ScaleCrop>
  <LinksUpToDate>false</LinksUpToDate>
  <CharactersWithSpaces>11754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huawei</dc:creator>
  <cp:lastModifiedBy>WPS_1502764794</cp:lastModifiedBy>
  <cp:lastPrinted>2022-01-08T09:28:00Z</cp:lastPrinted>
  <dcterms:modified xsi:type="dcterms:W3CDTF">2024-04-23T06:53:56Z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7DE2C2CA516B44FBBCD155C6A6A396B9</vt:lpwstr>
  </property>
</Properties>
</file>