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宋体" w:eastAsia="方正小标宋简体" w:cs="宋体"/>
          <w:b/>
          <w:snapToGrid w:val="0"/>
          <w:color w:val="000000"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/>
          <w:snapToGrid w:val="0"/>
          <w:color w:val="000000"/>
          <w:kern w:val="0"/>
          <w:sz w:val="44"/>
          <w:szCs w:val="44"/>
          <w:lang w:val="en-US" w:eastAsia="zh-CN"/>
        </w:rPr>
        <w:t>红谷滩区农业产业发展专项资金使用办法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为扎实推进我区乡村振兴工作，高质量发展我区特色生态农业，根据上级有关精神和兄弟县区有关政策措施，结合我区实际，特制定了《红谷滩区农业产业发展专项资金使用办法》，具体办法如下。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黑体" w:hAnsi="黑体" w:eastAsia="黑体" w:cstheme="minorBidi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theme="minorBidi"/>
          <w:b w:val="0"/>
          <w:bCs/>
          <w:kern w:val="0"/>
          <w:sz w:val="32"/>
          <w:szCs w:val="32"/>
          <w:lang w:val="en-US" w:eastAsia="zh-CN"/>
        </w:rPr>
        <w:t>一、资金扶持政策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为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大力发展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我区农业产业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，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按照年初所涉农业产业发展专项资金的安排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，其中：80%用于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农业产业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项目直接扶持；20%用于农业技术培训、新技术推广、项目推进管理、农村生产生活基础配套设施、</w:t>
      </w:r>
      <w:r>
        <w:rPr>
          <w:rFonts w:hint="eastAsia" w:ascii="仿宋_GB2312" w:hAnsi="仿宋" w:eastAsia="仿宋_GB2312"/>
          <w:b w:val="0"/>
          <w:bCs w:val="0"/>
          <w:color w:val="000000"/>
          <w:sz w:val="32"/>
          <w:szCs w:val="32"/>
        </w:rPr>
        <w:t>水利基础设施建设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和维护等。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3" w:firstLineChars="200"/>
        <w:jc w:val="both"/>
        <w:textAlignment w:val="auto"/>
        <w:rPr>
          <w:rFonts w:hint="eastAsia" w:ascii="楷体" w:hAnsi="楷体" w:eastAsia="楷体" w:cstheme="minorBidi"/>
          <w:b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theme="minorBidi"/>
          <w:b/>
          <w:kern w:val="0"/>
          <w:sz w:val="32"/>
          <w:szCs w:val="32"/>
          <w:lang w:val="en-US" w:eastAsia="zh-CN"/>
        </w:rPr>
        <w:t>（一）现有农业产业改造提升补助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1.茶叶基地规模化种植改造提升。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个人、村、企业或合作社改造老茶园100亩以上，且未列入茶园改造补助的，给与每亩1500元补助；补助资金按3：4：3比例，分三年安排到位。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2.精品葡萄园观光体验化改造提升。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现有城区规划区以外，面积在50亩以上，环境优良、无污染，基础条件较好且具备评定“两品一标”的葡萄园，按规范化种植、体验式采摘、观光型经营要求进行改造提升，给予精品葡萄园观光体验化改造提升扶持。50亩（含）以上按每亩最高1200元标准给予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3. 精品蔬菜农事体验观光园改造提升。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现有</w:t>
      </w:r>
      <w:r>
        <w:rPr>
          <w:rFonts w:hint="eastAsia" w:ascii="仿宋_GB2312" w:hAnsi="仿宋" w:eastAsia="仿宋_GB2312"/>
          <w:sz w:val="32"/>
          <w:szCs w:val="32"/>
        </w:rPr>
        <w:t>面积50亩以上，具备建设绿色无公害蔬菜种植示范基地条件的，按照城市家庭认养为主、兼顾农事体验型要求进行改造提升的蔬菜农事体验观光园，按每亩1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00元标准一次性给予蔬菜农事体验观光园改造提升资金扶持。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.特色果业生态观光示范园改造提升。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面积30亩以上，已进入盛果期，除葡萄以外的蓝莓、杨梅、冬枣、草莓、猕猴桃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、西梅、樱桃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等其他特色果业基地，按要求进行采摘体验化示范园改造提升的，给予资金补助。30亩（含）以上按每亩最高1200元标准给予补助。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5.中药材、食用菌、花卉生态观光示范园改造提升。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现有城区规划区以外，面积30亩以上，按要求进行观光示范园改造提升的，给予资金补助。30亩（含）以上按每亩最高1000元标准给予补助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6.畜禽污染防治补助。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对规模畜禽养殖户聘用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第三方企业收集散养户畜禽粪污进行集中处理的给予补贴，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每年1-5万元补贴。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7.畜禽养殖补助。</w:t>
      </w:r>
      <w:r>
        <w:rPr>
          <w:rFonts w:hint="eastAsia" w:ascii="仿宋_GB2312" w:hAnsi="仿宋" w:eastAsia="仿宋_GB2312"/>
          <w:b w:val="0"/>
          <w:bCs/>
          <w:sz w:val="32"/>
          <w:szCs w:val="32"/>
          <w:lang w:eastAsia="zh-CN"/>
        </w:rPr>
        <w:t>对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在红谷滩区范围内养殖场能繁母猪给与100元/头的补贴。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8.鼓励发展花生种植。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新建花生种植30亩以上每亩奖补200元。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9.鼓励发展中药材产业。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新建中药材基地每亩奖补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10.鼓励发展特色水产养殖。</w:t>
      </w:r>
      <w:r>
        <w:rPr>
          <w:rFonts w:hint="eastAsia" w:ascii="仿宋_GB2312" w:hAnsi="仿宋_GB2312" w:eastAsia="仿宋_GB2312" w:cs="仿宋_GB2312"/>
          <w:sz w:val="32"/>
          <w:szCs w:val="32"/>
        </w:rPr>
        <w:t>新增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稻蛙（虾）等</w:t>
      </w:r>
      <w:r>
        <w:rPr>
          <w:rFonts w:hint="eastAsia" w:ascii="仿宋_GB2312" w:hAnsi="仿宋_GB2312" w:eastAsia="仿宋_GB2312" w:cs="仿宋_GB2312"/>
          <w:sz w:val="32"/>
          <w:szCs w:val="32"/>
        </w:rPr>
        <w:t>养殖每亩奖补1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00元。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3" w:firstLineChars="200"/>
        <w:jc w:val="both"/>
        <w:textAlignment w:val="auto"/>
        <w:rPr>
          <w:rFonts w:hint="eastAsia" w:ascii="楷体" w:hAnsi="楷体" w:eastAsia="楷体" w:cstheme="minorBidi"/>
          <w:b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theme="minorBidi"/>
          <w:b/>
          <w:kern w:val="0"/>
          <w:sz w:val="32"/>
          <w:szCs w:val="32"/>
          <w:lang w:val="en-US" w:eastAsia="zh-CN"/>
        </w:rPr>
        <w:t>（二）新增农业产业项目补助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" w:eastAsia="仿宋_GB2312"/>
          <w:b w:val="0"/>
          <w:bCs w:val="0"/>
          <w:spacing w:val="-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1.新建茶园项目。</w:t>
      </w:r>
      <w:r>
        <w:rPr>
          <w:rFonts w:hint="eastAsia" w:ascii="仿宋_GB2312" w:hAnsi="仿宋" w:eastAsia="仿宋_GB2312"/>
          <w:b w:val="0"/>
          <w:bCs w:val="0"/>
          <w:spacing w:val="-2"/>
          <w:sz w:val="32"/>
          <w:szCs w:val="32"/>
        </w:rPr>
        <w:t>新增连片种植标准茶园50亩以上，给予每亩2500元补助；补助资金按照3：4：3比例分三年安排到位。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2.新增果业种植项目。</w:t>
      </w:r>
      <w:r>
        <w:rPr>
          <w:rFonts w:hint="eastAsia" w:ascii="仿宋_GB2312" w:hAnsi="仿宋" w:eastAsia="仿宋_GB2312"/>
          <w:b w:val="0"/>
          <w:bCs/>
          <w:sz w:val="32"/>
          <w:szCs w:val="32"/>
        </w:rPr>
        <w:t>面积30亩以上，且一次性按照观光体验式基地标准建设到位的特色农业项目，给予项目资金补助。30亩（含）以上按每亩最高1</w:t>
      </w:r>
      <w:r>
        <w:rPr>
          <w:rFonts w:hint="eastAsia" w:ascii="仿宋_GB2312" w:hAnsi="仿宋" w:eastAsia="仿宋_GB2312"/>
          <w:b w:val="0"/>
          <w:bCs/>
          <w:sz w:val="32"/>
          <w:szCs w:val="32"/>
          <w:lang w:val="en-US" w:eastAsia="zh-CN"/>
        </w:rPr>
        <w:t>500</w:t>
      </w:r>
      <w:r>
        <w:rPr>
          <w:rFonts w:hint="eastAsia" w:ascii="仿宋_GB2312" w:hAnsi="仿宋" w:eastAsia="仿宋_GB2312"/>
          <w:b w:val="0"/>
          <w:bCs/>
          <w:sz w:val="32"/>
          <w:szCs w:val="32"/>
        </w:rPr>
        <w:t>元标准给予补助；补助资金按一期不超过40%、二期（进入</w:t>
      </w:r>
      <w:r>
        <w:rPr>
          <w:rFonts w:hint="eastAsia" w:ascii="仿宋_GB2312" w:hAnsi="仿宋" w:eastAsia="仿宋_GB2312"/>
          <w:b w:val="0"/>
          <w:bCs/>
          <w:sz w:val="32"/>
          <w:szCs w:val="32"/>
          <w:lang w:eastAsia="zh-CN"/>
        </w:rPr>
        <w:t>采摘</w:t>
      </w:r>
      <w:r>
        <w:rPr>
          <w:rFonts w:hint="eastAsia" w:ascii="仿宋_GB2312" w:hAnsi="仿宋" w:eastAsia="仿宋_GB2312"/>
          <w:b w:val="0"/>
          <w:bCs/>
          <w:sz w:val="32"/>
          <w:szCs w:val="32"/>
        </w:rPr>
        <w:t>期）全额到位的原则分批落实到位。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3.新增蔬菜种植标准化示范园项目。</w:t>
      </w:r>
      <w:r>
        <w:rPr>
          <w:rFonts w:hint="eastAsia" w:ascii="仿宋_GB2312" w:hAnsi="仿宋" w:eastAsia="仿宋_GB2312"/>
          <w:b w:val="0"/>
          <w:bCs/>
          <w:sz w:val="32"/>
          <w:szCs w:val="32"/>
        </w:rPr>
        <w:t>面积在30亩以上，且一次性</w:t>
      </w:r>
      <w:r>
        <w:rPr>
          <w:rFonts w:hint="eastAsia" w:ascii="仿宋_GB2312" w:hAnsi="仿宋" w:eastAsia="仿宋_GB2312"/>
          <w:sz w:val="32"/>
          <w:szCs w:val="32"/>
        </w:rPr>
        <w:t>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商品生产、</w:t>
      </w:r>
      <w:r>
        <w:rPr>
          <w:rFonts w:hint="eastAsia" w:ascii="仿宋_GB2312" w:hAnsi="仿宋" w:eastAsia="仿宋_GB2312"/>
          <w:sz w:val="32"/>
          <w:szCs w:val="32"/>
        </w:rPr>
        <w:t>观光采摘等综合性体验基地标准建设到位的项目，按每亩1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00元标准一次性给予项目资金补助。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改造和新增特色生态农业项目，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坚持“先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</w:t>
      </w:r>
      <w:r>
        <w:rPr>
          <w:rFonts w:hint="eastAsia" w:ascii="仿宋_GB2312" w:hAnsi="仿宋_GB2312" w:eastAsia="仿宋_GB2312" w:cs="仿宋_GB2312"/>
          <w:sz w:val="32"/>
          <w:szCs w:val="32"/>
        </w:rPr>
        <w:t>后补”原则，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采取以下申报、验收办法：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每年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月底前申报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区农业农村局下达申报通知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，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由项目业主自主申报，填写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项目申报表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见附表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，并附年度项目实施方案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与预算表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，连同土地流转（或承包）合同、项目单位登记注册证件、“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两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品一标”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等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证件，向所在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乡镇（街道）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进行项目申报。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扶持建设内容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包括完善园区道路体系，做到主、支路配套；改善排灌系统，建设喷灌、滴灌设施；实施绿色栽培措施，建设遮阳或避雨大棚、安装杀虫灯、防虫网等；建设供游人休息和观光的亭、廊、游步道及品尝、体验设施；合理建设小型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生态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停车场所，以及丰富品种，增加项目的观赏性、体验和参与性，延长项目区采摘、观赏期限的措施。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各乡镇（街道）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收到项目单位申报材料后，要及时组织审核，了解项目建设地点是否符合产业规划、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  <w:t>用地手续是否合规、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审核相关合同是否合法有效、相关证件是否属实。对审核合格的项目签署审核意见，并在审核真实的证件复印件上加盖与原件相符印章，将相关材料装订成册报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区农业农村局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。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区农业农村局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对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乡镇（街道）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上报的项目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进行实地查看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，根据全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年度资金项目规划，择优选定本年度扶持项目并正式行文批复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立项批复为6月底前，项目验收为每年的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月底前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原则上财政扶持资金不高于项目单位年度投入资金的50%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项目单位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完工后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应及时向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区农业农村局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提交项目验收申请，同时提交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相关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材料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申请验收报告、项目批复文件、项目立项申报表、项目年度实施方案、项目实施情况总结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项目决算、同角度项目实施前后的照片对比、项目单位证、照复印件、土地流转（或承包）合同复印件、“三品一标”证件复印件、其他需要提供的材料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材料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一式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两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份交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区农业农村局。区农业农村局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收到上述验收材料后，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确定结算评审单位后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组织项目验收。项目验收的重点为项目单位年度实施计划完成情况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对项目计划完成较好的，签署验收合格意见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验收合格后，区农业农村局根据相应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补助标准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汇总补助金额，向区财政局申请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</w:rPr>
        <w:t>下达补助资金。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黑体" w:hAnsi="黑体" w:eastAsia="黑体" w:cstheme="minorBidi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theme="minorBidi"/>
          <w:b w:val="0"/>
          <w:bCs/>
          <w:kern w:val="0"/>
          <w:sz w:val="32"/>
          <w:szCs w:val="32"/>
          <w:lang w:val="en-US" w:eastAsia="zh-CN"/>
        </w:rPr>
        <w:t>二、新引进农业产业项目配套扶持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1.对按规范程序流转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抛荒2年以上（含2年）耕地或荒山荒坡</w:t>
      </w:r>
      <w:r>
        <w:rPr>
          <w:rFonts w:hint="eastAsia" w:ascii="仿宋_GB2312" w:hAnsi="仿宋" w:eastAsia="仿宋_GB2312"/>
          <w:sz w:val="32"/>
          <w:szCs w:val="32"/>
        </w:rPr>
        <w:t>从事</w:t>
      </w:r>
      <w:r>
        <w:rPr>
          <w:rFonts w:hint="eastAsia" w:ascii="仿宋_GB2312" w:hAnsi="仿宋" w:eastAsia="仿宋_GB2312"/>
          <w:bCs/>
          <w:sz w:val="32"/>
          <w:szCs w:val="32"/>
        </w:rPr>
        <w:t>特色生态农业项目</w:t>
      </w:r>
      <w:r>
        <w:rPr>
          <w:rFonts w:hint="eastAsia" w:ascii="仿宋_GB2312" w:hAnsi="仿宋" w:eastAsia="仿宋_GB2312"/>
          <w:sz w:val="32"/>
          <w:szCs w:val="32"/>
        </w:rPr>
        <w:t>的投资者，流转期限在10年以上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（种植粮食作物的，流转期限可缩短为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5年以上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，流转面积（连片）在100亩以上，按照流转合同（协议）付清土地流转费，并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恢复农业生产的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，按每亩500元的标准一次性给予土地流转经费补助，单个项目年度奖补资金不超过10万元。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2.对新上标准化茶叶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蔬菜、茶油、水果加工</w:t>
      </w:r>
      <w:r>
        <w:rPr>
          <w:rFonts w:hint="eastAsia" w:ascii="仿宋_GB2312" w:hAnsi="仿宋" w:eastAsia="仿宋_GB2312"/>
          <w:sz w:val="32"/>
          <w:szCs w:val="32"/>
        </w:rPr>
        <w:t>生产线等特色农产品加工设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备，按当年设备投资的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0%给予财政专项资金扶持，单个企业年度扶持资金不超过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万元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企业准备好相关佐证材料与票据向区农业农村局提出申请，区农业农村局审核后，向区财政局提出资金分配意见。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b w:val="0"/>
          <w:bCs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.投资者在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红谷滩区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域</w:t>
      </w:r>
      <w:r>
        <w:rPr>
          <w:rFonts w:hint="eastAsia" w:ascii="仿宋_GB2312" w:hAnsi="仿宋" w:eastAsia="仿宋_GB2312"/>
          <w:sz w:val="32"/>
          <w:szCs w:val="32"/>
        </w:rPr>
        <w:t>内建设与我区特色农产品相配套的综合性农产品加工、农产品交易市场等项目，</w:t>
      </w:r>
      <w:r>
        <w:rPr>
          <w:rFonts w:hint="eastAsia" w:ascii="仿宋_GB2312" w:hAnsi="仿宋" w:eastAsia="仿宋_GB2312"/>
          <w:b w:val="0"/>
          <w:bCs/>
          <w:sz w:val="32"/>
          <w:szCs w:val="32"/>
        </w:rPr>
        <w:t>固定资产投资额在300万元以上，</w:t>
      </w:r>
      <w:r>
        <w:rPr>
          <w:rFonts w:hint="eastAsia" w:ascii="仿宋_GB2312" w:hAnsi="仿宋" w:eastAsia="仿宋_GB2312"/>
          <w:sz w:val="32"/>
          <w:szCs w:val="32"/>
        </w:rPr>
        <w:t xml:space="preserve">并在当年完成项目建设总额50%以上的，给予基础设施投资奖补。新建农产品专业批发市场或农产品加工厂面积2000平方米以上的，一次性补助20万元，在此基础上每增加1000平方米奖励10万元, </w:t>
      </w:r>
      <w:r>
        <w:rPr>
          <w:rFonts w:hint="eastAsia" w:ascii="仿宋_GB2312" w:hAnsi="仿宋" w:eastAsia="仿宋_GB2312"/>
          <w:b w:val="0"/>
          <w:bCs/>
          <w:sz w:val="32"/>
          <w:szCs w:val="32"/>
        </w:rPr>
        <w:t>单个项目扶持资金不超过</w:t>
      </w:r>
      <w:r>
        <w:rPr>
          <w:rFonts w:hint="eastAsia" w:ascii="仿宋_GB2312" w:hAnsi="仿宋" w:eastAsia="仿宋_GB2312"/>
          <w:b w:val="0"/>
          <w:bCs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b w:val="0"/>
          <w:bCs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 w:val="0"/>
          <w:bCs/>
          <w:sz w:val="32"/>
          <w:szCs w:val="32"/>
          <w:lang w:val="en-US" w:eastAsia="zh-CN"/>
        </w:rPr>
        <w:t>4.农业先进生产技术奖补项目。对涉农企业所拥有技术或标准 在国内具有引领示范作用的给予100万元奖励，在省内具有引领示范作用的给予50万元奖励，在市内具有引领示范作用的给予20万元奖励。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黑体" w:hAnsi="黑体" w:eastAsia="黑体" w:cstheme="minorBidi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theme="minorBidi"/>
          <w:b w:val="0"/>
          <w:bCs/>
          <w:kern w:val="0"/>
          <w:sz w:val="32"/>
          <w:szCs w:val="32"/>
          <w:lang w:val="en-US" w:eastAsia="zh-CN"/>
        </w:rPr>
        <w:t>三、农业产业品牌建设扶持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1.新获得市级、省级、国家级农业产业化龙头企业称号的企业，除享受上级有关政策奖励外，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" w:eastAsia="仿宋_GB2312"/>
          <w:sz w:val="32"/>
          <w:szCs w:val="32"/>
        </w:rPr>
        <w:t>财政再分别给予上级奖励资金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" w:eastAsia="仿宋_GB2312"/>
          <w:sz w:val="32"/>
          <w:szCs w:val="32"/>
        </w:rPr>
        <w:t>%奖励。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2.新获得农业部门无公害产品、绿色食品、有机食品认证的企业，除享受上级有关政策奖励外，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" w:eastAsia="仿宋_GB2312"/>
          <w:sz w:val="32"/>
          <w:szCs w:val="32"/>
        </w:rPr>
        <w:t>财政再分别给予上级奖励资金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" w:eastAsia="仿宋_GB2312"/>
          <w:sz w:val="32"/>
          <w:szCs w:val="32"/>
        </w:rPr>
        <w:t>%奖励。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3.新创建省、市农业部门认可的益农信息社，在享受上级有关政策奖励的基础上，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" w:eastAsia="仿宋_GB2312"/>
          <w:sz w:val="32"/>
          <w:szCs w:val="32"/>
        </w:rPr>
        <w:t>财政再按上级奖励资金1:1给予奖励。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4.新获得国家驰名商标、省级著名商标、市级知名商标的农业企业，除享受上级有关政策奖励外，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财政再分别给予上级奖励资金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50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%奖励；对获得证明商标、国家地理标志、国家级农业标准化示范区立项并完成验收、省级名牌产品的农业企业，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财政分别给予10万元奖励；对获得集体商标、省级农业标准化示范区立项并完成验收、市级名牌产品、主导制修订省级农业地方标准的单位或农业企业，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财政分别给予5万元奖励。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5.鼓励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" w:eastAsia="仿宋_GB2312"/>
          <w:sz w:val="32"/>
          <w:szCs w:val="32"/>
        </w:rPr>
        <w:t>农业产业投资者依托自有基地举办各类节庆活动。对承办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" w:eastAsia="仿宋_GB2312"/>
          <w:sz w:val="32"/>
          <w:szCs w:val="32"/>
        </w:rPr>
        <w:t>、市、省、国家级节庆活动，并以此大力宣传推介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红谷滩区</w:t>
      </w:r>
      <w:r>
        <w:rPr>
          <w:rFonts w:hint="eastAsia" w:ascii="仿宋_GB2312" w:hAnsi="仿宋" w:eastAsia="仿宋_GB2312"/>
          <w:sz w:val="32"/>
          <w:szCs w:val="32"/>
        </w:rPr>
        <w:t>特色生态农业产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业的，一次性给予相关企业承办活动所支出经费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不超过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50%的奖励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企业准备好相关佐证材料与票据向区农业农村局提出申请，区农业农村局审核后，向区财政局提出资金分配意见。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黑体" w:hAnsi="黑体" w:eastAsia="黑体" w:cstheme="minorBidi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theme="minorBidi"/>
          <w:b w:val="0"/>
          <w:bCs/>
          <w:kern w:val="0"/>
          <w:sz w:val="32"/>
          <w:szCs w:val="32"/>
          <w:lang w:val="en-US" w:eastAsia="zh-CN"/>
        </w:rPr>
        <w:t>四、附则</w:t>
      </w:r>
    </w:p>
    <w:p>
      <w:pPr>
        <w:pStyle w:val="66"/>
        <w:keepNext w:val="0"/>
        <w:keepLines w:val="0"/>
        <w:widowControl w:val="0"/>
        <w:shd w:val="clear" w:color="auto" w:fill="auto"/>
        <w:bidi w:val="0"/>
        <w:spacing w:before="0" w:after="0" w:line="569" w:lineRule="exact"/>
        <w:ind w:left="0" w:right="0" w:firstLine="68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u w:val="none"/>
          <w:shd w:val="clear"/>
          <w:lang w:val="en-US" w:eastAsia="zh-CN" w:bidi="ar-SA"/>
        </w:rPr>
        <w:t>区农业农村局对下一年度发展农业产业专项资金做出测算，区财政局将发展农业产业专项资金列入年度预算，区农业农村局加强对发展生态观光农业专项资金的使用管理，提高资金使用效益，区财政局对农业产业专项资金使用加强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" w:eastAsia="仿宋_GB2312"/>
          <w:sz w:val="32"/>
          <w:szCs w:val="32"/>
        </w:rPr>
        <w:t>本级其他支持经济发展的相关政策继续执行，与本政策措施重复的，按“就高不就低”的原则执行，国家、省、市政策另有规定的从其规定。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3.本政策措施自20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日开始实施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4.本政策措施由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区农业农村局、区财政局</w:t>
      </w:r>
      <w:r>
        <w:rPr>
          <w:rFonts w:hint="eastAsia" w:ascii="仿宋_GB2312" w:hAnsi="仿宋" w:eastAsia="仿宋_GB2312"/>
          <w:sz w:val="32"/>
          <w:szCs w:val="32"/>
        </w:rPr>
        <w:t>负责解释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附件：1.红谷滩区农业产业扶持项目立项申报表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both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2.红谷滩区农业产业项目验收表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附件1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宋体" w:eastAsia="方正小标宋简体" w:cs="宋体"/>
          <w:b/>
          <w:snapToGrid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/>
          <w:snapToGrid w:val="0"/>
          <w:color w:val="000000"/>
          <w:kern w:val="0"/>
          <w:sz w:val="44"/>
          <w:szCs w:val="44"/>
          <w:lang w:val="en-US" w:eastAsia="zh-CN"/>
        </w:rPr>
        <w:t>红谷滩区农业产业扶持项目立项申报表</w:t>
      </w:r>
    </w:p>
    <w:tbl>
      <w:tblPr>
        <w:tblStyle w:val="20"/>
        <w:tblpPr w:leftFromText="180" w:rightFromText="180" w:vertAnchor="text" w:horzAnchor="page" w:tblpX="1387" w:tblpY="939"/>
        <w:tblOverlap w:val="never"/>
        <w:tblW w:w="9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2141"/>
        <w:gridCol w:w="2282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41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申报单位</w:t>
            </w:r>
          </w:p>
        </w:tc>
        <w:tc>
          <w:tcPr>
            <w:tcW w:w="2141" w:type="dxa"/>
            <w:noWrap w:val="0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8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项目地点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41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法人代表</w:t>
            </w:r>
          </w:p>
        </w:tc>
        <w:tc>
          <w:tcPr>
            <w:tcW w:w="2141" w:type="dxa"/>
            <w:noWrap w:val="0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8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41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土地来源 </w:t>
            </w:r>
          </w:p>
        </w:tc>
        <w:tc>
          <w:tcPr>
            <w:tcW w:w="2141" w:type="dxa"/>
            <w:noWrap w:val="0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8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面积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241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本年度项目建设内容及概算</w:t>
            </w:r>
          </w:p>
        </w:tc>
        <w:tc>
          <w:tcPr>
            <w:tcW w:w="6707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241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村审查意见（签字盖章）</w:t>
            </w:r>
          </w:p>
        </w:tc>
        <w:tc>
          <w:tcPr>
            <w:tcW w:w="6707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2418" w:type="dxa"/>
            <w:noWrap w:val="0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乡镇（街道）</w:t>
            </w:r>
            <w:r>
              <w:rPr>
                <w:rFonts w:hint="eastAsia" w:ascii="仿宋_GB2312" w:eastAsia="仿宋_GB2312"/>
                <w:sz w:val="32"/>
                <w:szCs w:val="32"/>
              </w:rPr>
              <w:t>审查意见（签字盖章）：</w:t>
            </w:r>
          </w:p>
        </w:tc>
        <w:tc>
          <w:tcPr>
            <w:tcW w:w="6707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80" w:lineRule="exact"/>
              <w:ind w:firstLine="5280" w:firstLineChars="165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2418" w:type="dxa"/>
            <w:noWrap w:val="0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区农业农村局</w:t>
            </w:r>
            <w:r>
              <w:rPr>
                <w:rFonts w:hint="eastAsia" w:ascii="仿宋_GB2312" w:eastAsia="仿宋_GB2312"/>
                <w:sz w:val="32"/>
                <w:szCs w:val="32"/>
              </w:rPr>
              <w:t>审查意见（签字盖章）：</w:t>
            </w:r>
          </w:p>
        </w:tc>
        <w:tc>
          <w:tcPr>
            <w:tcW w:w="6707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80" w:lineRule="exact"/>
              <w:ind w:firstLine="5280" w:firstLineChars="165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月 日</w:t>
            </w:r>
          </w:p>
        </w:tc>
      </w:tr>
    </w:tbl>
    <w:p>
      <w:pPr>
        <w:spacing w:line="580" w:lineRule="exact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580" w:lineRule="exact"/>
        <w:rPr>
          <w:rFonts w:hint="eastAsia"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附件2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宋体" w:eastAsia="方正小标宋简体" w:cs="宋体"/>
          <w:b/>
          <w:snapToGrid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/>
          <w:snapToGrid w:val="0"/>
          <w:color w:val="000000"/>
          <w:kern w:val="0"/>
          <w:sz w:val="44"/>
          <w:szCs w:val="44"/>
          <w:lang w:val="en-US" w:eastAsia="zh-CN"/>
        </w:rPr>
        <w:t>红谷滩区农业产业项目验收表</w:t>
      </w:r>
    </w:p>
    <w:tbl>
      <w:tblPr>
        <w:tblStyle w:val="20"/>
        <w:tblpPr w:leftFromText="180" w:rightFromText="180" w:vertAnchor="text" w:horzAnchor="page" w:tblpX="1320" w:tblpY="549"/>
        <w:tblOverlap w:val="never"/>
        <w:tblW w:w="96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687"/>
        <w:gridCol w:w="53"/>
        <w:gridCol w:w="9"/>
        <w:gridCol w:w="2577"/>
        <w:gridCol w:w="3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7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申报单位</w:t>
            </w:r>
          </w:p>
        </w:tc>
        <w:tc>
          <w:tcPr>
            <w:tcW w:w="1687" w:type="dxa"/>
            <w:noWrap w:val="0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39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项目地点</w:t>
            </w:r>
          </w:p>
        </w:tc>
        <w:tc>
          <w:tcPr>
            <w:tcW w:w="3563" w:type="dxa"/>
            <w:noWrap w:val="0"/>
            <w:vAlign w:val="top"/>
          </w:tcPr>
          <w:p>
            <w:pPr>
              <w:spacing w:line="580" w:lineRule="exact"/>
              <w:ind w:right="1592" w:rightChars="758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7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法人代表</w:t>
            </w:r>
          </w:p>
        </w:tc>
        <w:tc>
          <w:tcPr>
            <w:tcW w:w="1687" w:type="dxa"/>
            <w:noWrap w:val="0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39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3563" w:type="dxa"/>
            <w:noWrap w:val="0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77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土地来源 </w:t>
            </w:r>
          </w:p>
        </w:tc>
        <w:tc>
          <w:tcPr>
            <w:tcW w:w="1687" w:type="dxa"/>
            <w:noWrap w:val="0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39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面积</w:t>
            </w:r>
          </w:p>
        </w:tc>
        <w:tc>
          <w:tcPr>
            <w:tcW w:w="3563" w:type="dxa"/>
            <w:noWrap w:val="0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77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本年度项目建设内容及完成情况</w:t>
            </w:r>
          </w:p>
        </w:tc>
        <w:tc>
          <w:tcPr>
            <w:tcW w:w="7889" w:type="dxa"/>
            <w:gridSpan w:val="5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1779" w:type="dxa"/>
            <w:vMerge w:val="restart"/>
            <w:noWrap w:val="0"/>
            <w:vAlign w:val="center"/>
          </w:tcPr>
          <w:p>
            <w:pPr>
              <w:spacing w:line="58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验收人员签字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乡镇（街道）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验收人员</w:t>
            </w:r>
          </w:p>
          <w:p>
            <w:pPr>
              <w:spacing w:line="580" w:lineRule="exact"/>
              <w:ind w:firstLine="5280" w:firstLineChars="165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49" w:type="dxa"/>
            <w:gridSpan w:val="3"/>
            <w:noWrap w:val="0"/>
            <w:vAlign w:val="top"/>
          </w:tcPr>
          <w:p>
            <w:pPr>
              <w:spacing w:line="580" w:lineRule="exact"/>
              <w:ind w:firstLine="5280" w:firstLineChars="16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779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区农业农村局</w:t>
            </w:r>
            <w:r>
              <w:rPr>
                <w:rFonts w:hint="eastAsia" w:ascii="仿宋_GB2312" w:eastAsia="仿宋_GB2312"/>
                <w:sz w:val="32"/>
                <w:szCs w:val="32"/>
              </w:rPr>
              <w:t>验收人员</w:t>
            </w:r>
          </w:p>
        </w:tc>
        <w:tc>
          <w:tcPr>
            <w:tcW w:w="6149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3528" w:type="dxa"/>
            <w:gridSpan w:val="4"/>
            <w:noWrap w:val="0"/>
            <w:vAlign w:val="top"/>
          </w:tcPr>
          <w:p>
            <w:pPr>
              <w:spacing w:line="580" w:lineRule="exact"/>
              <w:ind w:left="160" w:hanging="160" w:hangingChars="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区农业农村局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（签字盖章）：</w:t>
            </w:r>
          </w:p>
          <w:p>
            <w:pPr>
              <w:spacing w:line="580" w:lineRule="exact"/>
              <w:ind w:firstLine="5280" w:firstLineChars="16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6140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80" w:lineRule="exact"/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  <w:lang w:val="en-US" w:eastAsia="zh-CN"/>
        </w:rPr>
        <w:t xml:space="preserve">                               </w:t>
      </w:r>
      <w:r>
        <w:rPr>
          <w:rFonts w:hint="eastAsia" w:ascii="仿宋_GB2312" w:eastAsia="仿宋_GB2312"/>
          <w:b/>
          <w:sz w:val="32"/>
          <w:szCs w:val="32"/>
        </w:rPr>
        <w:t xml:space="preserve">验收时间：   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</w:rPr>
        <w:t>年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</w:rPr>
        <w:t xml:space="preserve"> 月  日</w:t>
      </w:r>
    </w:p>
    <w:sectPr>
      <w:headerReference r:id="rId3" w:type="default"/>
      <w:footerReference r:id="rId4" w:type="default"/>
      <w:pgSz w:w="11906" w:h="16838"/>
      <w:pgMar w:top="1417" w:right="1474" w:bottom="1417" w:left="1588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-810895</wp:posOffset>
              </wp:positionH>
              <wp:positionV relativeFrom="paragraph">
                <wp:posOffset>3413125</wp:posOffset>
              </wp:positionV>
              <wp:extent cx="771525" cy="333375"/>
              <wp:effectExtent l="219075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7715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2"/>
                          </w:pPr>
                        </w:p>
                        <w:p>
                          <w:pPr>
                            <w:pStyle w:val="12"/>
                          </w:pPr>
                        </w:p>
                      </w:txbxContent>
                    </wps:txbx>
                    <wps:bodyPr vert="horz" wrap="square" lIns="0" tIns="0" rIns="0" bIns="0" anchor="t" anchorCtr="0" upright="0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-63.85pt;margin-top:268.75pt;height:26.25pt;width:60.75pt;mso-position-horizontal-relative:margin;rotation:5898240f;z-index:251659264;mso-width-relative:page;mso-height-relative:page;" filled="f" stroked="f" coordsize="21600,21600" o:gfxdata="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E4&#10;UgDXAAAACwEAAA8AAAAAAAAAAQAgAAAAIgAAAGRycy9kb3ducmV2LnhtbFBLAQIUABQAAAAIAIdO&#10;4kDNVm+S6wEAAMkDAAAOAAAAAAAAAAEAIAAAACYBAABkcnMvZTJvRG9jLnhtbFBLBQYAAAAABgAG&#10;AFkBAACD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2"/>
                    </w:pPr>
                  </w:p>
                  <w:p>
                    <w:pPr>
                      <w:pStyle w:val="12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,5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jNGRmZTIzNTZjMjIxZmUyOWIwMmQxMzY3NDljN2QifQ=="/>
  </w:docVars>
  <w:rsids>
    <w:rsidRoot w:val="00E72132"/>
    <w:rsid w:val="0000799C"/>
    <w:rsid w:val="00024307"/>
    <w:rsid w:val="00025FA2"/>
    <w:rsid w:val="0002781A"/>
    <w:rsid w:val="000360E2"/>
    <w:rsid w:val="000404A6"/>
    <w:rsid w:val="00046B53"/>
    <w:rsid w:val="000507B3"/>
    <w:rsid w:val="0006253A"/>
    <w:rsid w:val="0006759F"/>
    <w:rsid w:val="0007575C"/>
    <w:rsid w:val="00097665"/>
    <w:rsid w:val="000B5B4E"/>
    <w:rsid w:val="000C3E3E"/>
    <w:rsid w:val="000D3349"/>
    <w:rsid w:val="000E2421"/>
    <w:rsid w:val="000E2512"/>
    <w:rsid w:val="000F186F"/>
    <w:rsid w:val="000F30EC"/>
    <w:rsid w:val="000F592C"/>
    <w:rsid w:val="000F6505"/>
    <w:rsid w:val="00115A67"/>
    <w:rsid w:val="001328A4"/>
    <w:rsid w:val="00136FBE"/>
    <w:rsid w:val="001520DB"/>
    <w:rsid w:val="00155100"/>
    <w:rsid w:val="00160173"/>
    <w:rsid w:val="0017251E"/>
    <w:rsid w:val="00180DF2"/>
    <w:rsid w:val="001A4B21"/>
    <w:rsid w:val="001B0E52"/>
    <w:rsid w:val="001B24F7"/>
    <w:rsid w:val="001B7865"/>
    <w:rsid w:val="001C753D"/>
    <w:rsid w:val="001D07C7"/>
    <w:rsid w:val="001D2B8A"/>
    <w:rsid w:val="001E72D1"/>
    <w:rsid w:val="001F15A4"/>
    <w:rsid w:val="001F24DD"/>
    <w:rsid w:val="001F3AAA"/>
    <w:rsid w:val="001F5EA2"/>
    <w:rsid w:val="00205DA8"/>
    <w:rsid w:val="00211A30"/>
    <w:rsid w:val="00212116"/>
    <w:rsid w:val="0021452A"/>
    <w:rsid w:val="00226F82"/>
    <w:rsid w:val="00227758"/>
    <w:rsid w:val="00227E40"/>
    <w:rsid w:val="00241A08"/>
    <w:rsid w:val="0024314D"/>
    <w:rsid w:val="002438D0"/>
    <w:rsid w:val="00261342"/>
    <w:rsid w:val="00262C24"/>
    <w:rsid w:val="0027181C"/>
    <w:rsid w:val="00281317"/>
    <w:rsid w:val="0028527B"/>
    <w:rsid w:val="00286E7A"/>
    <w:rsid w:val="00293FFE"/>
    <w:rsid w:val="00296860"/>
    <w:rsid w:val="002A4938"/>
    <w:rsid w:val="002B3100"/>
    <w:rsid w:val="002B648D"/>
    <w:rsid w:val="002D5FEF"/>
    <w:rsid w:val="002E0810"/>
    <w:rsid w:val="002E125B"/>
    <w:rsid w:val="002F3E40"/>
    <w:rsid w:val="002F40E6"/>
    <w:rsid w:val="00317E9C"/>
    <w:rsid w:val="00317F6F"/>
    <w:rsid w:val="00334D28"/>
    <w:rsid w:val="003378A8"/>
    <w:rsid w:val="00343EC3"/>
    <w:rsid w:val="003701C9"/>
    <w:rsid w:val="003723B3"/>
    <w:rsid w:val="0039118F"/>
    <w:rsid w:val="00391F36"/>
    <w:rsid w:val="00393BDE"/>
    <w:rsid w:val="00394682"/>
    <w:rsid w:val="003A7F19"/>
    <w:rsid w:val="003C4806"/>
    <w:rsid w:val="003D0EB6"/>
    <w:rsid w:val="003D1761"/>
    <w:rsid w:val="003E5240"/>
    <w:rsid w:val="003E54B9"/>
    <w:rsid w:val="003E6E46"/>
    <w:rsid w:val="00406061"/>
    <w:rsid w:val="00406BBB"/>
    <w:rsid w:val="0040767A"/>
    <w:rsid w:val="00415CFE"/>
    <w:rsid w:val="00426E30"/>
    <w:rsid w:val="00440681"/>
    <w:rsid w:val="00450A91"/>
    <w:rsid w:val="00456752"/>
    <w:rsid w:val="004568D8"/>
    <w:rsid w:val="004611F6"/>
    <w:rsid w:val="00462690"/>
    <w:rsid w:val="00470506"/>
    <w:rsid w:val="004A0222"/>
    <w:rsid w:val="004A3486"/>
    <w:rsid w:val="004A40EE"/>
    <w:rsid w:val="004A53BA"/>
    <w:rsid w:val="004A72BC"/>
    <w:rsid w:val="004B2028"/>
    <w:rsid w:val="004C053B"/>
    <w:rsid w:val="004C637C"/>
    <w:rsid w:val="004C7AA0"/>
    <w:rsid w:val="004D1093"/>
    <w:rsid w:val="004D3464"/>
    <w:rsid w:val="004F28AE"/>
    <w:rsid w:val="004F5460"/>
    <w:rsid w:val="004F64D9"/>
    <w:rsid w:val="00501FCC"/>
    <w:rsid w:val="00505FC6"/>
    <w:rsid w:val="005132DC"/>
    <w:rsid w:val="00533A9D"/>
    <w:rsid w:val="00537A63"/>
    <w:rsid w:val="00542427"/>
    <w:rsid w:val="0054485A"/>
    <w:rsid w:val="00545E51"/>
    <w:rsid w:val="0055502F"/>
    <w:rsid w:val="005576C8"/>
    <w:rsid w:val="005844D7"/>
    <w:rsid w:val="00586FA4"/>
    <w:rsid w:val="005A0D7A"/>
    <w:rsid w:val="005A3812"/>
    <w:rsid w:val="005A7448"/>
    <w:rsid w:val="005B1119"/>
    <w:rsid w:val="005B1227"/>
    <w:rsid w:val="005B6B98"/>
    <w:rsid w:val="005C1A1F"/>
    <w:rsid w:val="005D0E26"/>
    <w:rsid w:val="005E7CE8"/>
    <w:rsid w:val="005F4F0C"/>
    <w:rsid w:val="00627459"/>
    <w:rsid w:val="006529B8"/>
    <w:rsid w:val="00684781"/>
    <w:rsid w:val="00686698"/>
    <w:rsid w:val="0068773D"/>
    <w:rsid w:val="00692F33"/>
    <w:rsid w:val="006956C1"/>
    <w:rsid w:val="00696E50"/>
    <w:rsid w:val="006A0EFB"/>
    <w:rsid w:val="006A29D9"/>
    <w:rsid w:val="006B54C3"/>
    <w:rsid w:val="006B7C05"/>
    <w:rsid w:val="006D3A10"/>
    <w:rsid w:val="006E3C96"/>
    <w:rsid w:val="00703325"/>
    <w:rsid w:val="007051CD"/>
    <w:rsid w:val="007052E6"/>
    <w:rsid w:val="0071072A"/>
    <w:rsid w:val="0071485D"/>
    <w:rsid w:val="00715AC2"/>
    <w:rsid w:val="00722AFC"/>
    <w:rsid w:val="00722C81"/>
    <w:rsid w:val="00725357"/>
    <w:rsid w:val="00726462"/>
    <w:rsid w:val="00726B85"/>
    <w:rsid w:val="00731D60"/>
    <w:rsid w:val="00734AEE"/>
    <w:rsid w:val="00747170"/>
    <w:rsid w:val="00757AA5"/>
    <w:rsid w:val="00777CF4"/>
    <w:rsid w:val="007802BF"/>
    <w:rsid w:val="0078127C"/>
    <w:rsid w:val="00786FCF"/>
    <w:rsid w:val="007A2BE2"/>
    <w:rsid w:val="007A3BF5"/>
    <w:rsid w:val="007B328F"/>
    <w:rsid w:val="007B365D"/>
    <w:rsid w:val="007C7770"/>
    <w:rsid w:val="007D1E9D"/>
    <w:rsid w:val="007D5AE7"/>
    <w:rsid w:val="007E2B64"/>
    <w:rsid w:val="007E454C"/>
    <w:rsid w:val="007F16DB"/>
    <w:rsid w:val="007F1E48"/>
    <w:rsid w:val="007F72F4"/>
    <w:rsid w:val="00802B27"/>
    <w:rsid w:val="00806E87"/>
    <w:rsid w:val="008137AA"/>
    <w:rsid w:val="00814117"/>
    <w:rsid w:val="008148BC"/>
    <w:rsid w:val="00822C93"/>
    <w:rsid w:val="00830ECF"/>
    <w:rsid w:val="00832011"/>
    <w:rsid w:val="008357A6"/>
    <w:rsid w:val="00840241"/>
    <w:rsid w:val="00844079"/>
    <w:rsid w:val="008624FB"/>
    <w:rsid w:val="008934EF"/>
    <w:rsid w:val="00893C91"/>
    <w:rsid w:val="008D0217"/>
    <w:rsid w:val="008F4C47"/>
    <w:rsid w:val="008F616E"/>
    <w:rsid w:val="00903817"/>
    <w:rsid w:val="00905B98"/>
    <w:rsid w:val="00907A43"/>
    <w:rsid w:val="009112C5"/>
    <w:rsid w:val="00914E8B"/>
    <w:rsid w:val="009231E2"/>
    <w:rsid w:val="00924642"/>
    <w:rsid w:val="0092471B"/>
    <w:rsid w:val="0093089A"/>
    <w:rsid w:val="00937953"/>
    <w:rsid w:val="00940BCA"/>
    <w:rsid w:val="00957082"/>
    <w:rsid w:val="00957FCB"/>
    <w:rsid w:val="00965C4B"/>
    <w:rsid w:val="00966DFB"/>
    <w:rsid w:val="009756A3"/>
    <w:rsid w:val="00995116"/>
    <w:rsid w:val="009A760D"/>
    <w:rsid w:val="009B37DC"/>
    <w:rsid w:val="009D0E2E"/>
    <w:rsid w:val="009D1F6B"/>
    <w:rsid w:val="009D7C55"/>
    <w:rsid w:val="009E0777"/>
    <w:rsid w:val="009E2CB4"/>
    <w:rsid w:val="009F2415"/>
    <w:rsid w:val="009F3406"/>
    <w:rsid w:val="009F4594"/>
    <w:rsid w:val="00A031E3"/>
    <w:rsid w:val="00A077D8"/>
    <w:rsid w:val="00A1084D"/>
    <w:rsid w:val="00A1574E"/>
    <w:rsid w:val="00A17037"/>
    <w:rsid w:val="00A447EF"/>
    <w:rsid w:val="00A4483D"/>
    <w:rsid w:val="00A51CD1"/>
    <w:rsid w:val="00A64A85"/>
    <w:rsid w:val="00A81631"/>
    <w:rsid w:val="00A91204"/>
    <w:rsid w:val="00AB0EC2"/>
    <w:rsid w:val="00AB1D19"/>
    <w:rsid w:val="00AB2FA1"/>
    <w:rsid w:val="00AC4334"/>
    <w:rsid w:val="00AD5D39"/>
    <w:rsid w:val="00AE061A"/>
    <w:rsid w:val="00AE0983"/>
    <w:rsid w:val="00AF7442"/>
    <w:rsid w:val="00B043F4"/>
    <w:rsid w:val="00B05929"/>
    <w:rsid w:val="00B35FBB"/>
    <w:rsid w:val="00B60B1D"/>
    <w:rsid w:val="00B666D5"/>
    <w:rsid w:val="00B74391"/>
    <w:rsid w:val="00B76806"/>
    <w:rsid w:val="00B773B5"/>
    <w:rsid w:val="00B85CEC"/>
    <w:rsid w:val="00B958D0"/>
    <w:rsid w:val="00BA2A43"/>
    <w:rsid w:val="00BA2DDA"/>
    <w:rsid w:val="00BA554D"/>
    <w:rsid w:val="00BA60FF"/>
    <w:rsid w:val="00BA79C2"/>
    <w:rsid w:val="00BC08BD"/>
    <w:rsid w:val="00BC14B5"/>
    <w:rsid w:val="00BD2306"/>
    <w:rsid w:val="00BE2603"/>
    <w:rsid w:val="00BE42EB"/>
    <w:rsid w:val="00BE7DC7"/>
    <w:rsid w:val="00BF576B"/>
    <w:rsid w:val="00BF73A9"/>
    <w:rsid w:val="00C149ED"/>
    <w:rsid w:val="00C17E63"/>
    <w:rsid w:val="00C20F8A"/>
    <w:rsid w:val="00C21515"/>
    <w:rsid w:val="00C2233A"/>
    <w:rsid w:val="00C5151F"/>
    <w:rsid w:val="00C51D89"/>
    <w:rsid w:val="00C5252A"/>
    <w:rsid w:val="00C63350"/>
    <w:rsid w:val="00C6358C"/>
    <w:rsid w:val="00C65402"/>
    <w:rsid w:val="00C80C2B"/>
    <w:rsid w:val="00C8761C"/>
    <w:rsid w:val="00C97080"/>
    <w:rsid w:val="00CB3124"/>
    <w:rsid w:val="00CC1137"/>
    <w:rsid w:val="00CC6A81"/>
    <w:rsid w:val="00CC7561"/>
    <w:rsid w:val="00CD666E"/>
    <w:rsid w:val="00CE201A"/>
    <w:rsid w:val="00CF1816"/>
    <w:rsid w:val="00CF46EC"/>
    <w:rsid w:val="00D06034"/>
    <w:rsid w:val="00D125B8"/>
    <w:rsid w:val="00D16F69"/>
    <w:rsid w:val="00D42973"/>
    <w:rsid w:val="00D43508"/>
    <w:rsid w:val="00D50C5B"/>
    <w:rsid w:val="00D61549"/>
    <w:rsid w:val="00D618F3"/>
    <w:rsid w:val="00D639CA"/>
    <w:rsid w:val="00D648D1"/>
    <w:rsid w:val="00D75CFD"/>
    <w:rsid w:val="00D80CEE"/>
    <w:rsid w:val="00D90017"/>
    <w:rsid w:val="00D901A2"/>
    <w:rsid w:val="00D9252C"/>
    <w:rsid w:val="00DA32DF"/>
    <w:rsid w:val="00DB0656"/>
    <w:rsid w:val="00DB2582"/>
    <w:rsid w:val="00DB3ED1"/>
    <w:rsid w:val="00DC29D7"/>
    <w:rsid w:val="00DD26B3"/>
    <w:rsid w:val="00DE240A"/>
    <w:rsid w:val="00DF37EB"/>
    <w:rsid w:val="00E050C4"/>
    <w:rsid w:val="00E0710F"/>
    <w:rsid w:val="00E113E2"/>
    <w:rsid w:val="00E20E32"/>
    <w:rsid w:val="00E46197"/>
    <w:rsid w:val="00E46F70"/>
    <w:rsid w:val="00E72132"/>
    <w:rsid w:val="00E97091"/>
    <w:rsid w:val="00EA6A92"/>
    <w:rsid w:val="00EB29FA"/>
    <w:rsid w:val="00EB402C"/>
    <w:rsid w:val="00EB6E8C"/>
    <w:rsid w:val="00EC4751"/>
    <w:rsid w:val="00EC67AE"/>
    <w:rsid w:val="00EC7120"/>
    <w:rsid w:val="00ED7930"/>
    <w:rsid w:val="00EE0400"/>
    <w:rsid w:val="00EF28A6"/>
    <w:rsid w:val="00F10213"/>
    <w:rsid w:val="00F27AA8"/>
    <w:rsid w:val="00F372A2"/>
    <w:rsid w:val="00F43778"/>
    <w:rsid w:val="00F51980"/>
    <w:rsid w:val="00F603CC"/>
    <w:rsid w:val="00F755D2"/>
    <w:rsid w:val="00F75B05"/>
    <w:rsid w:val="00FA1E9C"/>
    <w:rsid w:val="00FA3A4A"/>
    <w:rsid w:val="00FB7BAA"/>
    <w:rsid w:val="00FC0547"/>
    <w:rsid w:val="00FC315F"/>
    <w:rsid w:val="00FD39DA"/>
    <w:rsid w:val="00FD4307"/>
    <w:rsid w:val="00FF5461"/>
    <w:rsid w:val="010510DD"/>
    <w:rsid w:val="01CC59EB"/>
    <w:rsid w:val="040E7AB2"/>
    <w:rsid w:val="0448146E"/>
    <w:rsid w:val="08302325"/>
    <w:rsid w:val="0846341F"/>
    <w:rsid w:val="09863B1B"/>
    <w:rsid w:val="09A72BE4"/>
    <w:rsid w:val="0B5F5581"/>
    <w:rsid w:val="0C3A1D8D"/>
    <w:rsid w:val="108A47BB"/>
    <w:rsid w:val="14094A5D"/>
    <w:rsid w:val="14D33B62"/>
    <w:rsid w:val="14F836FA"/>
    <w:rsid w:val="16F950BE"/>
    <w:rsid w:val="189849EB"/>
    <w:rsid w:val="19004DC1"/>
    <w:rsid w:val="190A18F7"/>
    <w:rsid w:val="19905A94"/>
    <w:rsid w:val="1AD268FE"/>
    <w:rsid w:val="1D1A6602"/>
    <w:rsid w:val="1DBE097F"/>
    <w:rsid w:val="1EB3682D"/>
    <w:rsid w:val="1F035F30"/>
    <w:rsid w:val="228D15B3"/>
    <w:rsid w:val="24522DDC"/>
    <w:rsid w:val="25932A94"/>
    <w:rsid w:val="26BE3768"/>
    <w:rsid w:val="28437978"/>
    <w:rsid w:val="28FA335C"/>
    <w:rsid w:val="29A01987"/>
    <w:rsid w:val="29EA6448"/>
    <w:rsid w:val="2A38651B"/>
    <w:rsid w:val="2B924515"/>
    <w:rsid w:val="2D8F31B3"/>
    <w:rsid w:val="2DD8752E"/>
    <w:rsid w:val="2DE35D7F"/>
    <w:rsid w:val="2DFE6D84"/>
    <w:rsid w:val="2EBD47A3"/>
    <w:rsid w:val="2FFB336C"/>
    <w:rsid w:val="309149A8"/>
    <w:rsid w:val="3127501E"/>
    <w:rsid w:val="316C53FC"/>
    <w:rsid w:val="31923E77"/>
    <w:rsid w:val="324707D6"/>
    <w:rsid w:val="33000D04"/>
    <w:rsid w:val="335E6981"/>
    <w:rsid w:val="38D94F33"/>
    <w:rsid w:val="3B4B4A36"/>
    <w:rsid w:val="3C1C3426"/>
    <w:rsid w:val="3D74554D"/>
    <w:rsid w:val="3E044DC3"/>
    <w:rsid w:val="3E856ACF"/>
    <w:rsid w:val="3F0F3801"/>
    <w:rsid w:val="3F20634C"/>
    <w:rsid w:val="3FA30A23"/>
    <w:rsid w:val="3FBB1413"/>
    <w:rsid w:val="43843386"/>
    <w:rsid w:val="47843D96"/>
    <w:rsid w:val="484C19AB"/>
    <w:rsid w:val="4B995BC1"/>
    <w:rsid w:val="4C0A636F"/>
    <w:rsid w:val="4D027D9F"/>
    <w:rsid w:val="512F5986"/>
    <w:rsid w:val="524A3FB4"/>
    <w:rsid w:val="52DB1D53"/>
    <w:rsid w:val="538B5B86"/>
    <w:rsid w:val="54453C29"/>
    <w:rsid w:val="55F3641B"/>
    <w:rsid w:val="56F169B2"/>
    <w:rsid w:val="57D84858"/>
    <w:rsid w:val="598C5FAC"/>
    <w:rsid w:val="5A0924A7"/>
    <w:rsid w:val="5B4237E1"/>
    <w:rsid w:val="5B434C2C"/>
    <w:rsid w:val="5D3164F7"/>
    <w:rsid w:val="5FF47C82"/>
    <w:rsid w:val="62057D90"/>
    <w:rsid w:val="63CB373F"/>
    <w:rsid w:val="65C36A41"/>
    <w:rsid w:val="66F51E2D"/>
    <w:rsid w:val="69F32DCF"/>
    <w:rsid w:val="6E104603"/>
    <w:rsid w:val="6F2152CD"/>
    <w:rsid w:val="70410AA2"/>
    <w:rsid w:val="73825939"/>
    <w:rsid w:val="744D103D"/>
    <w:rsid w:val="746437FE"/>
    <w:rsid w:val="749D6361"/>
    <w:rsid w:val="74E36BAA"/>
    <w:rsid w:val="74E56D68"/>
    <w:rsid w:val="758F1F34"/>
    <w:rsid w:val="77A83F68"/>
    <w:rsid w:val="77E30AB7"/>
    <w:rsid w:val="78502640"/>
    <w:rsid w:val="79F5021F"/>
    <w:rsid w:val="79FF5837"/>
    <w:rsid w:val="7B025736"/>
    <w:rsid w:val="7B1646FC"/>
    <w:rsid w:val="7B450C8D"/>
    <w:rsid w:val="7B7122B3"/>
    <w:rsid w:val="7BCE310B"/>
    <w:rsid w:val="7C310743"/>
    <w:rsid w:val="7C7068B0"/>
    <w:rsid w:val="7C8F1618"/>
    <w:rsid w:val="7D5D6094"/>
    <w:rsid w:val="7DF023E4"/>
    <w:rsid w:val="7F1E5AC3"/>
    <w:rsid w:val="7F8068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7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4">
    <w:name w:val="heading 2"/>
    <w:basedOn w:val="1"/>
    <w:next w:val="1"/>
    <w:link w:val="28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5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6">
    <w:name w:val="heading 4"/>
    <w:basedOn w:val="1"/>
    <w:next w:val="1"/>
    <w:link w:val="29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21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30"/>
    <w:qFormat/>
    <w:uiPriority w:val="0"/>
    <w:pPr>
      <w:spacing w:after="120"/>
    </w:pPr>
  </w:style>
  <w:style w:type="paragraph" w:styleId="7">
    <w:name w:val="Body Text Indent"/>
    <w:basedOn w:val="1"/>
    <w:link w:val="31"/>
    <w:qFormat/>
    <w:uiPriority w:val="0"/>
    <w:pPr>
      <w:spacing w:after="120"/>
      <w:ind w:left="420" w:leftChars="200"/>
    </w:pPr>
  </w:style>
  <w:style w:type="paragraph" w:styleId="8">
    <w:name w:val="Plain Text"/>
    <w:basedOn w:val="1"/>
    <w:link w:val="32"/>
    <w:qFormat/>
    <w:uiPriority w:val="0"/>
    <w:rPr>
      <w:rFonts w:ascii="宋体" w:hAnsi="Courier New" w:eastAsia="宋体" w:cs="Times New Roman"/>
    </w:rPr>
  </w:style>
  <w:style w:type="paragraph" w:styleId="9">
    <w:name w:val="Date"/>
    <w:basedOn w:val="1"/>
    <w:next w:val="1"/>
    <w:link w:val="33"/>
    <w:qFormat/>
    <w:uiPriority w:val="0"/>
    <w:pPr>
      <w:ind w:left="100" w:leftChars="2500"/>
    </w:pPr>
  </w:style>
  <w:style w:type="paragraph" w:styleId="10">
    <w:name w:val="Body Text Indent 2"/>
    <w:basedOn w:val="1"/>
    <w:qFormat/>
    <w:uiPriority w:val="0"/>
    <w:pPr>
      <w:spacing w:line="300" w:lineRule="auto"/>
      <w:ind w:firstLine="420"/>
    </w:pPr>
    <w:rPr>
      <w:sz w:val="28"/>
      <w:szCs w:val="20"/>
    </w:rPr>
  </w:style>
  <w:style w:type="paragraph" w:styleId="11">
    <w:name w:val="Balloon Text"/>
    <w:basedOn w:val="1"/>
    <w:link w:val="34"/>
    <w:qFormat/>
    <w:uiPriority w:val="0"/>
    <w:rPr>
      <w:sz w:val="18"/>
      <w:szCs w:val="18"/>
    </w:rPr>
  </w:style>
  <w:style w:type="paragraph" w:styleId="12">
    <w:name w:val="footer"/>
    <w:basedOn w:val="1"/>
    <w:link w:val="3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3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Body Text 2"/>
    <w:basedOn w:val="1"/>
    <w:qFormat/>
    <w:uiPriority w:val="99"/>
    <w:pPr>
      <w:ind w:firstLine="420" w:firstLineChars="200"/>
    </w:pPr>
    <w:rPr>
      <w:rFonts w:ascii="Times New Roman" w:hAnsi="Times New Roman" w:eastAsia="仿宋_GB2312" w:cs="Times New Roman"/>
      <w:sz w:val="30"/>
    </w:rPr>
  </w:style>
  <w:style w:type="paragraph" w:styleId="1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16">
    <w:name w:val="Title"/>
    <w:basedOn w:val="1"/>
    <w:next w:val="1"/>
    <w:link w:val="37"/>
    <w:qFormat/>
    <w:uiPriority w:val="0"/>
    <w:pPr>
      <w:spacing w:before="240" w:after="60"/>
      <w:jc w:val="center"/>
      <w:outlineLvl w:val="0"/>
    </w:pPr>
    <w:rPr>
      <w:rFonts w:ascii="Cambria" w:hAnsi="Cambria" w:cs="宋体"/>
      <w:b/>
      <w:bCs/>
      <w:sz w:val="32"/>
      <w:szCs w:val="32"/>
    </w:rPr>
  </w:style>
  <w:style w:type="paragraph" w:styleId="17">
    <w:name w:val="Body Text First Indent"/>
    <w:basedOn w:val="2"/>
    <w:link w:val="38"/>
    <w:qFormat/>
    <w:uiPriority w:val="0"/>
    <w:pPr>
      <w:widowControl/>
      <w:adjustRightInd w:val="0"/>
      <w:snapToGrid w:val="0"/>
      <w:spacing w:after="200"/>
      <w:ind w:firstLine="420" w:firstLineChars="100"/>
      <w:jc w:val="left"/>
    </w:pPr>
    <w:rPr>
      <w:rFonts w:ascii="Tahoma" w:hAnsi="Tahoma" w:eastAsia="微软雅黑"/>
      <w:b/>
      <w:bCs/>
      <w:kern w:val="0"/>
      <w:sz w:val="44"/>
      <w:szCs w:val="44"/>
    </w:rPr>
  </w:style>
  <w:style w:type="paragraph" w:styleId="18">
    <w:name w:val="Body Text First Indent 2"/>
    <w:basedOn w:val="7"/>
    <w:link w:val="39"/>
    <w:qFormat/>
    <w:uiPriority w:val="0"/>
    <w:pPr>
      <w:ind w:firstLine="420" w:firstLineChars="200"/>
    </w:pPr>
  </w:style>
  <w:style w:type="table" w:styleId="20">
    <w:name w:val="Table Grid"/>
    <w:basedOn w:val="19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basedOn w:val="21"/>
    <w:qFormat/>
    <w:uiPriority w:val="0"/>
    <w:rPr>
      <w:b/>
      <w:bCs/>
    </w:rPr>
  </w:style>
  <w:style w:type="character" w:styleId="23">
    <w:name w:val="page number"/>
    <w:basedOn w:val="21"/>
    <w:qFormat/>
    <w:uiPriority w:val="0"/>
    <w:rPr>
      <w:rFonts w:ascii="Times New Roman" w:hAnsi="Times New Roman" w:eastAsia="宋体" w:cs="Times New Roman"/>
    </w:rPr>
  </w:style>
  <w:style w:type="character" w:styleId="24">
    <w:name w:val="Hyperlink"/>
    <w:basedOn w:val="21"/>
    <w:qFormat/>
    <w:uiPriority w:val="0"/>
    <w:rPr>
      <w:color w:val="0000FF"/>
      <w:u w:val="single"/>
    </w:rPr>
  </w:style>
  <w:style w:type="paragraph" w:customStyle="1" w:styleId="25">
    <w:name w:val="NormalIndent"/>
    <w:basedOn w:val="1"/>
    <w:qFormat/>
    <w:uiPriority w:val="0"/>
    <w:pPr>
      <w:ind w:firstLine="420" w:firstLineChars="200"/>
    </w:pPr>
  </w:style>
  <w:style w:type="paragraph" w:customStyle="1" w:styleId="26">
    <w:name w:val="BodyText"/>
    <w:basedOn w:val="1"/>
    <w:next w:val="1"/>
    <w:qFormat/>
    <w:uiPriority w:val="0"/>
    <w:pPr>
      <w:spacing w:after="120"/>
    </w:pPr>
    <w:rPr>
      <w:rFonts w:ascii="Calibri" w:hAnsi="Calibri" w:eastAsia="宋体" w:cs="Times New Roman"/>
    </w:rPr>
  </w:style>
  <w:style w:type="character" w:customStyle="1" w:styleId="27">
    <w:name w:val="标题 1 Char"/>
    <w:basedOn w:val="21"/>
    <w:link w:val="3"/>
    <w:qFormat/>
    <w:uiPriority w:val="0"/>
    <w:rPr>
      <w:rFonts w:ascii="宋体" w:hAnsi="宋体"/>
      <w:b/>
      <w:kern w:val="44"/>
      <w:sz w:val="48"/>
      <w:szCs w:val="48"/>
    </w:rPr>
  </w:style>
  <w:style w:type="character" w:customStyle="1" w:styleId="28">
    <w:name w:val="标题 2 Char"/>
    <w:basedOn w:val="21"/>
    <w:link w:val="4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29">
    <w:name w:val="标题 4 Char"/>
    <w:basedOn w:val="21"/>
    <w:link w:val="6"/>
    <w:semiHidden/>
    <w:qFormat/>
    <w:uiPriority w:val="0"/>
    <w:rPr>
      <w:rFonts w:ascii="Cambria" w:hAnsi="Cambria" w:eastAsia="宋体" w:cs="Times New Roman"/>
      <w:b/>
      <w:bCs/>
      <w:kern w:val="2"/>
      <w:sz w:val="28"/>
      <w:szCs w:val="28"/>
    </w:rPr>
  </w:style>
  <w:style w:type="character" w:customStyle="1" w:styleId="30">
    <w:name w:val="正文文本 Char"/>
    <w:basedOn w:val="21"/>
    <w:link w:val="2"/>
    <w:qFormat/>
    <w:uiPriority w:val="0"/>
    <w:rPr>
      <w:kern w:val="2"/>
      <w:sz w:val="21"/>
      <w:szCs w:val="24"/>
    </w:rPr>
  </w:style>
  <w:style w:type="character" w:customStyle="1" w:styleId="31">
    <w:name w:val="正文文本缩进 Char"/>
    <w:basedOn w:val="21"/>
    <w:link w:val="7"/>
    <w:qFormat/>
    <w:uiPriority w:val="0"/>
    <w:rPr>
      <w:kern w:val="2"/>
      <w:sz w:val="21"/>
      <w:szCs w:val="24"/>
    </w:rPr>
  </w:style>
  <w:style w:type="character" w:customStyle="1" w:styleId="32">
    <w:name w:val="纯文本 Char"/>
    <w:basedOn w:val="21"/>
    <w:link w:val="8"/>
    <w:qFormat/>
    <w:uiPriority w:val="0"/>
    <w:rPr>
      <w:rFonts w:ascii="宋体" w:hAnsi="Courier New" w:eastAsia="宋体" w:cs="Times New Roman"/>
      <w:kern w:val="2"/>
      <w:sz w:val="21"/>
      <w:szCs w:val="24"/>
    </w:rPr>
  </w:style>
  <w:style w:type="character" w:customStyle="1" w:styleId="33">
    <w:name w:val="日期 Char"/>
    <w:basedOn w:val="21"/>
    <w:link w:val="9"/>
    <w:qFormat/>
    <w:uiPriority w:val="0"/>
    <w:rPr>
      <w:kern w:val="2"/>
      <w:sz w:val="21"/>
      <w:szCs w:val="24"/>
    </w:rPr>
  </w:style>
  <w:style w:type="character" w:customStyle="1" w:styleId="34">
    <w:name w:val="批注框文本 Char"/>
    <w:basedOn w:val="21"/>
    <w:link w:val="11"/>
    <w:qFormat/>
    <w:uiPriority w:val="0"/>
    <w:rPr>
      <w:kern w:val="2"/>
      <w:sz w:val="18"/>
      <w:szCs w:val="18"/>
    </w:rPr>
  </w:style>
  <w:style w:type="character" w:customStyle="1" w:styleId="35">
    <w:name w:val="页脚 Char"/>
    <w:basedOn w:val="21"/>
    <w:link w:val="12"/>
    <w:qFormat/>
    <w:uiPriority w:val="0"/>
    <w:rPr>
      <w:kern w:val="2"/>
      <w:sz w:val="18"/>
      <w:szCs w:val="18"/>
    </w:rPr>
  </w:style>
  <w:style w:type="character" w:customStyle="1" w:styleId="36">
    <w:name w:val="页眉 Char"/>
    <w:basedOn w:val="21"/>
    <w:link w:val="13"/>
    <w:qFormat/>
    <w:uiPriority w:val="0"/>
    <w:rPr>
      <w:kern w:val="2"/>
      <w:sz w:val="18"/>
      <w:szCs w:val="18"/>
    </w:rPr>
  </w:style>
  <w:style w:type="character" w:customStyle="1" w:styleId="37">
    <w:name w:val="标题 Char"/>
    <w:basedOn w:val="21"/>
    <w:link w:val="16"/>
    <w:qFormat/>
    <w:uiPriority w:val="0"/>
    <w:rPr>
      <w:rFonts w:ascii="Cambria" w:hAnsi="Cambria" w:cs="宋体"/>
      <w:b/>
      <w:bCs/>
      <w:kern w:val="2"/>
      <w:sz w:val="32"/>
      <w:szCs w:val="32"/>
    </w:rPr>
  </w:style>
  <w:style w:type="character" w:customStyle="1" w:styleId="38">
    <w:name w:val="正文首行缩进 Char"/>
    <w:basedOn w:val="30"/>
    <w:link w:val="17"/>
    <w:qFormat/>
    <w:uiPriority w:val="0"/>
    <w:rPr>
      <w:rFonts w:ascii="Tahoma" w:hAnsi="Tahoma" w:eastAsia="微软雅黑"/>
      <w:b/>
      <w:bCs/>
      <w:sz w:val="44"/>
      <w:szCs w:val="44"/>
    </w:rPr>
  </w:style>
  <w:style w:type="character" w:customStyle="1" w:styleId="39">
    <w:name w:val="正文首行缩进 2 Char"/>
    <w:basedOn w:val="31"/>
    <w:link w:val="18"/>
    <w:qFormat/>
    <w:uiPriority w:val="0"/>
  </w:style>
  <w:style w:type="character" w:customStyle="1" w:styleId="40">
    <w:name w:val="ksfind_class"/>
    <w:basedOn w:val="21"/>
    <w:qFormat/>
    <w:uiPriority w:val="0"/>
    <w:rPr>
      <w:rFonts w:ascii="Times New Roman" w:hAnsi="Times New Roman" w:eastAsia="宋体" w:cs="Times New Roman"/>
    </w:rPr>
  </w:style>
  <w:style w:type="character" w:customStyle="1" w:styleId="41">
    <w:name w:val="apple-converted-space"/>
    <w:basedOn w:val="21"/>
    <w:qFormat/>
    <w:uiPriority w:val="0"/>
  </w:style>
  <w:style w:type="character" w:customStyle="1" w:styleId="42">
    <w:name w:val="apple-style-span"/>
    <w:qFormat/>
    <w:uiPriority w:val="99"/>
    <w:rPr>
      <w:rFonts w:cs="Times New Roman"/>
    </w:rPr>
  </w:style>
  <w:style w:type="paragraph" w:customStyle="1" w:styleId="43">
    <w:name w:val="公文二级标题"/>
    <w:basedOn w:val="44"/>
    <w:next w:val="44"/>
    <w:qFormat/>
    <w:uiPriority w:val="1"/>
    <w:pPr>
      <w:outlineLvl w:val="1"/>
    </w:pPr>
    <w:rPr>
      <w:rFonts w:ascii="黑体" w:eastAsia="黑体"/>
      <w:b/>
    </w:rPr>
  </w:style>
  <w:style w:type="paragraph" w:customStyle="1" w:styleId="44">
    <w:name w:val="公文正文"/>
    <w:basedOn w:val="1"/>
    <w:qFormat/>
    <w:uiPriority w:val="3"/>
    <w:pPr>
      <w:spacing w:line="540" w:lineRule="exact"/>
      <w:ind w:firstLine="200" w:firstLineChars="200"/>
    </w:pPr>
    <w:rPr>
      <w:rFonts w:ascii="仿宋_GB2312" w:hAnsi="黑体" w:eastAsia="仿宋_GB2312"/>
      <w:sz w:val="32"/>
      <w:szCs w:val="44"/>
    </w:rPr>
  </w:style>
  <w:style w:type="paragraph" w:customStyle="1" w:styleId="45">
    <w:name w:val="公文落款"/>
    <w:basedOn w:val="44"/>
    <w:qFormat/>
    <w:uiPriority w:val="99"/>
    <w:pPr>
      <w:ind w:right="630" w:rightChars="300" w:firstLine="0" w:firstLineChars="0"/>
      <w:jc w:val="right"/>
    </w:pPr>
  </w:style>
  <w:style w:type="paragraph" w:customStyle="1" w:styleId="46">
    <w:name w:val="No Spacing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7">
    <w:name w:val="List Paragraph"/>
    <w:basedOn w:val="1"/>
    <w:qFormat/>
    <w:uiPriority w:val="34"/>
    <w:pPr>
      <w:ind w:firstLine="420" w:firstLineChars="200"/>
    </w:pPr>
    <w:rPr>
      <w:szCs w:val="21"/>
    </w:rPr>
  </w:style>
  <w:style w:type="paragraph" w:customStyle="1" w:styleId="48">
    <w:name w:val="公文一级标题"/>
    <w:basedOn w:val="44"/>
    <w:next w:val="44"/>
    <w:qFormat/>
    <w:uiPriority w:val="0"/>
    <w:pPr>
      <w:spacing w:afterLines="100" w:line="660" w:lineRule="exact"/>
      <w:ind w:firstLine="0" w:firstLineChars="0"/>
      <w:jc w:val="center"/>
      <w:outlineLvl w:val="0"/>
    </w:pPr>
    <w:rPr>
      <w:rFonts w:ascii="方正小标宋简体" w:eastAsia="方正小标宋简体"/>
      <w:b/>
      <w:sz w:val="44"/>
    </w:rPr>
  </w:style>
  <w:style w:type="paragraph" w:customStyle="1" w:styleId="49">
    <w:name w:val="公文三级标题"/>
    <w:basedOn w:val="44"/>
    <w:next w:val="44"/>
    <w:qFormat/>
    <w:uiPriority w:val="2"/>
    <w:pPr>
      <w:outlineLvl w:val="2"/>
    </w:pPr>
    <w:rPr>
      <w:b/>
    </w:rPr>
  </w:style>
  <w:style w:type="paragraph" w:customStyle="1" w:styleId="5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customStyle="1" w:styleId="51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2">
    <w:name w:val="表格"/>
    <w:basedOn w:val="1"/>
    <w:qFormat/>
    <w:uiPriority w:val="0"/>
    <w:pPr>
      <w:jc w:val="center"/>
    </w:pPr>
    <w:rPr>
      <w:rFonts w:ascii="宋体" w:hAnsi="宋体"/>
      <w:szCs w:val="20"/>
    </w:rPr>
  </w:style>
  <w:style w:type="paragraph" w:customStyle="1" w:styleId="53">
    <w:name w:val="一级标题"/>
    <w:basedOn w:val="1"/>
    <w:qFormat/>
    <w:uiPriority w:val="0"/>
    <w:rPr>
      <w:rFonts w:ascii="Times New Roman" w:hAnsi="Times New Roman" w:eastAsia="宋体" w:cs="Times New Roman"/>
      <w:b/>
      <w:bCs/>
      <w:sz w:val="28"/>
      <w:szCs w:val="28"/>
    </w:rPr>
  </w:style>
  <w:style w:type="paragraph" w:customStyle="1" w:styleId="54">
    <w:name w:val="正文00"/>
    <w:basedOn w:val="1"/>
    <w:link w:val="55"/>
    <w:qFormat/>
    <w:uiPriority w:val="0"/>
    <w:pPr>
      <w:spacing w:line="360" w:lineRule="auto"/>
      <w:ind w:firstLine="560" w:firstLineChars="200"/>
    </w:pPr>
    <w:rPr>
      <w:rFonts w:ascii="Times New Roman" w:hAnsi="Times New Roman" w:eastAsia="宋体" w:cs="Times New Roman"/>
      <w:sz w:val="28"/>
      <w:szCs w:val="28"/>
    </w:rPr>
  </w:style>
  <w:style w:type="character" w:customStyle="1" w:styleId="55">
    <w:name w:val="正文00 字符"/>
    <w:link w:val="54"/>
    <w:qFormat/>
    <w:uiPriority w:val="0"/>
    <w:rPr>
      <w:rFonts w:ascii="Times New Roman" w:hAnsi="Times New Roman" w:eastAsia="宋体" w:cs="Times New Roman"/>
      <w:sz w:val="28"/>
      <w:szCs w:val="28"/>
    </w:rPr>
  </w:style>
  <w:style w:type="paragraph" w:customStyle="1" w:styleId="56">
    <w:name w:val="00正文"/>
    <w:basedOn w:val="57"/>
    <w:qFormat/>
    <w:uiPriority w:val="0"/>
    <w:pPr>
      <w:spacing w:line="360" w:lineRule="auto"/>
      <w:ind w:firstLine="560"/>
    </w:pPr>
    <w:rPr>
      <w:rFonts w:ascii="Calibri" w:hAnsi="Calibri"/>
      <w:sz w:val="28"/>
      <w:szCs w:val="28"/>
    </w:rPr>
  </w:style>
  <w:style w:type="paragraph" w:customStyle="1" w:styleId="57">
    <w:name w:val="正文!"/>
    <w:basedOn w:val="1"/>
    <w:qFormat/>
    <w:uiPriority w:val="0"/>
    <w:pPr>
      <w:spacing w:line="540" w:lineRule="exact"/>
      <w:ind w:left="1" w:firstLine="480" w:firstLineChars="200"/>
      <w:textAlignment w:val="bottom"/>
    </w:pPr>
    <w:rPr>
      <w:sz w:val="24"/>
    </w:rPr>
  </w:style>
  <w:style w:type="character" w:customStyle="1" w:styleId="58">
    <w:name w:val="NormalCharacter"/>
    <w:qFormat/>
    <w:uiPriority w:val="0"/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customStyle="1" w:styleId="59">
    <w:name w:val="UserStyle_3"/>
    <w:basedOn w:val="1"/>
    <w:qFormat/>
    <w:uiPriority w:val="0"/>
    <w:rPr>
      <w:rFonts w:ascii="宋体" w:hAnsi="Courier New"/>
      <w:szCs w:val="21"/>
    </w:rPr>
  </w:style>
  <w:style w:type="paragraph" w:customStyle="1" w:styleId="60">
    <w:name w:val="179"/>
    <w:basedOn w:val="1"/>
    <w:qFormat/>
    <w:uiPriority w:val="0"/>
    <w:pPr>
      <w:ind w:firstLine="420" w:firstLineChars="200"/>
    </w:pPr>
  </w:style>
  <w:style w:type="paragraph" w:customStyle="1" w:styleId="61">
    <w:name w:val="UserStyle_0"/>
    <w:basedOn w:val="1"/>
    <w:next w:val="1"/>
    <w:qFormat/>
    <w:uiPriority w:val="0"/>
    <w:rPr>
      <w:i/>
      <w:iCs/>
      <w:color w:val="000000"/>
    </w:rPr>
  </w:style>
  <w:style w:type="paragraph" w:customStyle="1" w:styleId="62">
    <w:name w:val="List Paragraph1"/>
    <w:basedOn w:val="1"/>
    <w:qFormat/>
    <w:uiPriority w:val="99"/>
    <w:pPr>
      <w:ind w:firstLine="420" w:firstLineChars="200"/>
    </w:pPr>
  </w:style>
  <w:style w:type="paragraph" w:customStyle="1" w:styleId="63">
    <w:name w:val="BodyText1I"/>
    <w:basedOn w:val="26"/>
    <w:qFormat/>
    <w:uiPriority w:val="0"/>
    <w:pPr>
      <w:ind w:firstLine="420" w:firstLineChars="100"/>
    </w:pPr>
    <w:rPr>
      <w:rFonts w:eastAsia="楷体_GB2312"/>
    </w:rPr>
  </w:style>
  <w:style w:type="paragraph" w:customStyle="1" w:styleId="64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65">
    <w:name w:val="font51"/>
    <w:basedOn w:val="21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paragraph" w:customStyle="1" w:styleId="66">
    <w:name w:val="Body text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7">
    <w:name w:val="列出段落1"/>
    <w:basedOn w:val="1"/>
    <w:qFormat/>
    <w:uiPriority w:val="0"/>
    <w:pPr>
      <w:ind w:firstLine="420" w:firstLineChars="200"/>
    </w:pPr>
    <w:rPr>
      <w:rFonts w:ascii="Times New Roman" w:hAnsi="Arial" w:eastAsia="宋体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3611</Words>
  <Characters>3751</Characters>
  <Lines>2</Lines>
  <Paragraphs>1</Paragraphs>
  <TotalTime>1</TotalTime>
  <ScaleCrop>false</ScaleCrop>
  <LinksUpToDate>false</LinksUpToDate>
  <CharactersWithSpaces>3820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2018-06-05T08:14:00Z</dcterms:created>
  <dc:creator>AutoBVT</dc:creator>
  <cp:lastModifiedBy>DD</cp:lastModifiedBy>
  <cp:lastPrinted>2023-05-09T01:52:00Z</cp:lastPrinted>
  <dcterms:modified xsi:type="dcterms:W3CDTF">2023-05-17T02:35:34Z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568820298_btnclosed</vt:lpwstr>
  </property>
  <property fmtid="{D5CDD505-2E9C-101B-9397-08002B2CF9AE}" pid="4" name="ICV">
    <vt:lpwstr>1EE2E358D4B04AD19511494837470AD5_13</vt:lpwstr>
  </property>
</Properties>
</file>