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after="0" w:line="4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红谷府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办发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2"/>
          <w:sz w:val="44"/>
          <w:szCs w:val="44"/>
          <w:lang w:val="en-US" w:eastAsia="zh-CN" w:bidi="ar-SA"/>
        </w:rPr>
        <w:t>关于印发《红谷滩区专业招商工作组人员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2"/>
          <w:sz w:val="44"/>
          <w:szCs w:val="44"/>
          <w:lang w:val="en-US" w:eastAsia="zh-CN" w:bidi="ar-SA"/>
        </w:rPr>
        <w:t>双选方案》的通知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各乡镇、街办，区委各部门，区直各单位，驻区各单位：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《红谷滩区专业招商工作组人员双选方案》已经区政府同意，现印发给你们，请认真贯彻执行。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2024年3月13日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2"/>
          <w:sz w:val="44"/>
          <w:szCs w:val="44"/>
          <w:lang w:val="en-US" w:eastAsia="zh-CN" w:bidi="ar-SA"/>
        </w:rPr>
        <w:t>红谷滩区专业招商工作组人才双选方案</w:t>
      </w:r>
    </w:p>
    <w:p>
      <w:pPr>
        <w:jc w:val="center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根据“红谷滩区创新招商引资体制机制实施方案”，在全区特定范围干部中双向选择肯干事、能干事、作风优良、品德过硬的优秀人才组建专业招商工作组，打造一支专业招商人才队伍，特制定此双选方案。</w:t>
      </w:r>
    </w:p>
    <w:p>
      <w:pPr>
        <w:ind w:firstLine="627" w:firstLineChars="196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一、基本要求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1.参加双选人员范围是：在职在岗的区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直、乡镇街道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事业编干部（包括未来科学城事业编干部，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区机关党政储备人才事业编干部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区管事业编干部；区管事业编干部区管事业编干部可报名，具体按相关程序按相关程序另行安排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），以及区机关引进人才、区聘人员、区产投公司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南昌市红鹄产业投资有限公司，下同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新入职人员（包括原区城投公司转入人员），以上人员40岁以下须第一学历为全日制本科及以上，40岁以上为本科及以上学历。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工作态度端正，做事认真负责，为人正直诚实，有较好的敬业精神；有较强的文字表达能力、沟通协调能力、人际交往能力；熟练掌握办公软件使用技能，掌握基本的图表数据分析和文字处理工具；具备较好的沟通协作能力和抗压能力，具有较强的团队合作意识，能迅速适应岗位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3.有招商引资一线和对企服务一线工作经验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，以及有电子信息、数字经济相关专业背景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优先考虑。</w:t>
      </w:r>
    </w:p>
    <w:p>
      <w:pPr>
        <w:ind w:firstLine="627" w:firstLineChars="196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二、组织程序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1.公告。</w:t>
      </w:r>
      <w:r>
        <w:rPr>
          <w:rFonts w:hint="eastAsia" w:ascii="仿宋" w:hAnsi="仿宋" w:eastAsia="仿宋" w:cs="仿宋"/>
          <w:sz w:val="32"/>
          <w:szCs w:val="32"/>
        </w:rPr>
        <w:t>向全区相关单位公告双选方案。于3月1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2.报名。</w:t>
      </w:r>
      <w:r>
        <w:rPr>
          <w:rFonts w:hint="eastAsia" w:ascii="仿宋" w:hAnsi="仿宋" w:eastAsia="仿宋" w:cs="仿宋"/>
          <w:sz w:val="32"/>
          <w:szCs w:val="32"/>
        </w:rPr>
        <w:t>意向进入专业招商组的人员，填写报名表（见附件）并于3月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日下班前，交至区招商引资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领导小组办公室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（联系人：周杨子，联系电话：13979274207，邮箱：1832419707@qq.com）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2.资格审查</w:t>
      </w:r>
      <w:r>
        <w:rPr>
          <w:rFonts w:hint="eastAsia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由区招商引资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领导小组办公室，会商区委组织部、区委编办、区人社局，对报名表进行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资格审查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资格审查</w:t>
      </w:r>
      <w:r>
        <w:rPr>
          <w:rFonts w:hint="eastAsia" w:ascii="仿宋" w:hAnsi="仿宋" w:eastAsia="仿宋" w:cs="仿宋"/>
          <w:sz w:val="32"/>
          <w:szCs w:val="32"/>
        </w:rPr>
        <w:t>工作于3月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日前完成。</w:t>
      </w:r>
    </w:p>
    <w:p>
      <w:pPr>
        <w:ind w:firstLine="643" w:firstLineChars="200"/>
        <w:rPr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3.面试。</w:t>
      </w:r>
      <w:r>
        <w:rPr>
          <w:rFonts w:hint="eastAsia" w:ascii="仿宋" w:hAnsi="仿宋" w:eastAsia="仿宋" w:cs="仿宋"/>
          <w:sz w:val="32"/>
          <w:szCs w:val="32"/>
        </w:rPr>
        <w:t>由区招商引资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领导小组办公室副主任（区商务局局长）带队区委编办、区商务局、区人社局相关人员，根据报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仿宋"/>
          <w:sz w:val="32"/>
          <w:szCs w:val="32"/>
        </w:rPr>
        <w:t>人数情况组成若干面试小组，对通过资格审查人员进行面试。面试工作于3月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日前完成。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4.研究及公示。</w:t>
      </w:r>
      <w:r>
        <w:rPr>
          <w:rFonts w:hint="eastAsia" w:ascii="仿宋" w:hAnsi="仿宋" w:eastAsia="仿宋" w:cs="仿宋"/>
          <w:sz w:val="32"/>
          <w:szCs w:val="32"/>
        </w:rPr>
        <w:t>对通过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资格审查</w:t>
      </w:r>
      <w:r>
        <w:rPr>
          <w:rFonts w:hint="eastAsia" w:ascii="仿宋" w:hAnsi="仿宋" w:eastAsia="仿宋" w:cs="仿宋"/>
          <w:sz w:val="32"/>
          <w:szCs w:val="32"/>
        </w:rPr>
        <w:t>和面试的人员，报请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招商引资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领导小组会研究，研究通过后进行公示，公示无异议的人员名单提请区政府常务会研究审议。</w:t>
      </w:r>
    </w:p>
    <w:p>
      <w:pPr>
        <w:ind w:firstLine="627" w:firstLineChars="196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三、人事关系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1.对通过公示的所有人员开展为期三个月的考察，未通过考察人员回到原单位工作。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.事业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干部考察合格后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编制由组织人事部门根据干部管理权限进行调配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至未来科学城管委会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，或将劳动关系转移至区产投公司。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.区聘人员考察合格后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将劳动关系转移至区产投公司。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.区机关引进人才考察合格后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劳动关系转移至区商务局或区产投公司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（待南昌未来科学城管委会完全运转后由未来科学城管委会决定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区机关引进人才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用工关系的具体安排）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.区产投公司新入职人员，劳动关系所在单位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为区产投公司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附件：红谷滩区专业招商工作组双选报名表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红谷滩区专业招商部干部双选报名表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920"/>
        <w:gridCol w:w="2250"/>
        <w:gridCol w:w="214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70"/>
                <w:sz w:val="32"/>
                <w:szCs w:val="32"/>
                <w:vertAlign w:val="baseline"/>
                <w:lang w:val="en-US" w:eastAsia="zh-CN"/>
              </w:rPr>
              <w:t>第一学历及最高学历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80"/>
                <w:sz w:val="32"/>
                <w:szCs w:val="3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70"/>
                <w:sz w:val="30"/>
                <w:szCs w:val="30"/>
                <w:vertAlign w:val="baseline"/>
                <w:lang w:val="en-US" w:eastAsia="zh-CN"/>
              </w:rPr>
              <w:t>目前工作单位及职务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双选岗位</w:t>
            </w:r>
          </w:p>
        </w:tc>
        <w:tc>
          <w:tcPr>
            <w:tcW w:w="4170" w:type="dxa"/>
            <w:gridSpan w:val="2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专业部   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是否接受调剂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双选职务</w:t>
            </w:r>
          </w:p>
        </w:tc>
        <w:tc>
          <w:tcPr>
            <w:tcW w:w="4170" w:type="dxa"/>
            <w:gridSpan w:val="2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部长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副部长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是否接受调剂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历</w:t>
            </w:r>
          </w:p>
        </w:tc>
        <w:tc>
          <w:tcPr>
            <w:tcW w:w="8583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情况</w:t>
            </w:r>
          </w:p>
        </w:tc>
        <w:tc>
          <w:tcPr>
            <w:tcW w:w="8583" w:type="dxa"/>
            <w:gridSpan w:val="4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（包括配偶工作单位；子女就学、工作单位等情况）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近年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所获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荣誉</w:t>
            </w:r>
          </w:p>
        </w:tc>
        <w:tc>
          <w:tcPr>
            <w:tcW w:w="8583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所在单位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8583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本人签名</w:t>
            </w:r>
          </w:p>
        </w:tc>
        <w:tc>
          <w:tcPr>
            <w:tcW w:w="8583" w:type="dxa"/>
            <w:gridSpan w:val="4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时间：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应知事项：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见背面。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应知事项：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1.五个专业招商部：电子信息产业招商部、装备制造业招商部、商贸农文旅招商部、金融总部及生产性服务业招商部、软件信息和数字经济招商部。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2.提交报名表即视为对《红谷滩区创新招商引资体制机制实施方案（试行）》知悉并完全同意。</w:t>
      </w:r>
    </w:p>
    <w:p>
      <w:pPr>
        <w:ind w:firstLine="640" w:firstLineChars="200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3.填表人应确保所提供的个人信息、证明材料、证件真实准确,若因上述信息、材料、证件不真实造成的一切后果由本人承担</w:t>
      </w:r>
    </w:p>
    <w:sectPr>
      <w:footerReference r:id="rId4" w:type="default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2O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ql5uc8AAAAFAQAA&#10;DwAAAAAAAAABACAAAAAiAAAAZHJzL2Rvd25yZXYueG1sUEsBAhQAFAAAAAgAh07iQOTkxY7pAQAA&#10;ygMAAA4AAAAAAAAAAQAgAAAAH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ql5uc8AAAAFAQAA&#10;DwAAAAAAAAABACAAAAAiAAAAZHJzL2Rvd25yZXYueG1sUEsBAhQAFAAAAAgAh07iQOp+CBLpAQAA&#10;ygMAAA4AAAAAAAAAAQAgAAAAH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NzQxYjFhN2NkNWNhNWE1ZWY3Y2RjYjZlNDYwMTUifQ=="/>
  </w:docVars>
  <w:rsids>
    <w:rsidRoot w:val="00746B9E"/>
    <w:rsid w:val="00022989"/>
    <w:rsid w:val="00047AD1"/>
    <w:rsid w:val="001371D6"/>
    <w:rsid w:val="00194DB5"/>
    <w:rsid w:val="001B16F1"/>
    <w:rsid w:val="001B34D2"/>
    <w:rsid w:val="00221C5F"/>
    <w:rsid w:val="00242BBC"/>
    <w:rsid w:val="002E6968"/>
    <w:rsid w:val="005058AB"/>
    <w:rsid w:val="00507313"/>
    <w:rsid w:val="00534BED"/>
    <w:rsid w:val="0059524D"/>
    <w:rsid w:val="005B3B31"/>
    <w:rsid w:val="005E51B9"/>
    <w:rsid w:val="006A70AE"/>
    <w:rsid w:val="00706F61"/>
    <w:rsid w:val="00746B9E"/>
    <w:rsid w:val="00791CA9"/>
    <w:rsid w:val="008C6DD5"/>
    <w:rsid w:val="00901A2D"/>
    <w:rsid w:val="009136F4"/>
    <w:rsid w:val="009D3B30"/>
    <w:rsid w:val="00A11E1C"/>
    <w:rsid w:val="00A45F7D"/>
    <w:rsid w:val="00AA6D42"/>
    <w:rsid w:val="00AD49DF"/>
    <w:rsid w:val="00CB2036"/>
    <w:rsid w:val="00D36DAA"/>
    <w:rsid w:val="00F84BB7"/>
    <w:rsid w:val="00FF54CB"/>
    <w:rsid w:val="064C6E92"/>
    <w:rsid w:val="0B407FBF"/>
    <w:rsid w:val="0D3B5221"/>
    <w:rsid w:val="17EB66B3"/>
    <w:rsid w:val="1853639C"/>
    <w:rsid w:val="246378AD"/>
    <w:rsid w:val="28BE747E"/>
    <w:rsid w:val="2C163604"/>
    <w:rsid w:val="40C779C3"/>
    <w:rsid w:val="4CC709AE"/>
    <w:rsid w:val="4D2526C9"/>
    <w:rsid w:val="5853618E"/>
    <w:rsid w:val="5ABD0FA8"/>
    <w:rsid w:val="63DC1361"/>
    <w:rsid w:val="6B574C03"/>
    <w:rsid w:val="6D4C2F64"/>
    <w:rsid w:val="72C47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816</Characters>
  <Lines>6</Lines>
  <Paragraphs>1</Paragraphs>
  <TotalTime>3</TotalTime>
  <ScaleCrop>false</ScaleCrop>
  <LinksUpToDate>false</LinksUpToDate>
  <CharactersWithSpaces>958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2024-01-15T13:02:00Z</dcterms:created>
  <dc:creator>apple</dc:creator>
  <cp:lastModifiedBy>Link</cp:lastModifiedBy>
  <cp:lastPrinted>2024-03-14T02:16:12Z</cp:lastPrinted>
  <dcterms:modified xsi:type="dcterms:W3CDTF">2024-03-14T02:16:31Z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AB1509854C4E4BC2BF153FE5F3CD369B_13</vt:lpwstr>
  </property>
</Properties>
</file>