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textAlignment w:val="center"/>
        <w:rPr>
          <w:rFonts w:hint="eastAsia" w:ascii="黑体" w:hAnsi="黑体" w:eastAsia="黑体" w:cs="黑体"/>
          <w:bCs/>
          <w:kern w:val="0"/>
          <w:sz w:val="32"/>
          <w:szCs w:val="32"/>
        </w:rPr>
      </w:pPr>
      <w:bookmarkStart w:id="0" w:name="_GoBack"/>
      <w:bookmarkEnd w:id="0"/>
      <w:r>
        <w:rPr>
          <w:rFonts w:hint="eastAsia" w:ascii="黑体" w:hAnsi="黑体" w:eastAsia="黑体" w:cs="黑体"/>
          <w:bCs/>
          <w:kern w:val="0"/>
          <w:sz w:val="32"/>
          <w:szCs w:val="32"/>
        </w:rPr>
        <w:t>附件1</w:t>
      </w:r>
    </w:p>
    <w:p>
      <w:pPr>
        <w:pStyle w:val="2"/>
        <w:spacing w:line="578"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kern w:val="0"/>
          <w:sz w:val="44"/>
          <w:szCs w:val="44"/>
        </w:rPr>
        <w:t>工程建设其他费控制参考标准表</w:t>
      </w:r>
    </w:p>
    <w:tbl>
      <w:tblPr>
        <w:tblStyle w:val="9"/>
        <w:tblW w:w="127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9"/>
        <w:gridCol w:w="1390"/>
        <w:gridCol w:w="4905"/>
        <w:gridCol w:w="3195"/>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tblHeader/>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序号</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内容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定义范围</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lang w:eastAsia="zh-CN"/>
              </w:rPr>
              <w:t>南昌市</w:t>
            </w:r>
            <w:r>
              <w:rPr>
                <w:rFonts w:hint="eastAsia" w:ascii="黑体" w:hAnsi="黑体" w:eastAsia="黑体" w:cs="黑体"/>
                <w:bCs/>
                <w:kern w:val="0"/>
                <w:sz w:val="24"/>
              </w:rPr>
              <w:t>参考取费标准</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2"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建设用地费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按照《中华人民共和国土地管理法》等规定，建设项目征用土地或租用土地应支付的费用和管线搬迁及补偿费。主要包括：土地征用及迁移补偿费（本标准单价中不含）、征用耕地按规定一次性缴纳的耕地占用税、建设单位租用建设项目土地使用权而支付的租地费用、管线搬迁及补偿费。</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依据有关政策规定计取。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5"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2</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项目建设管理费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1、项目建设管理费指项目建设单位从项目筹建之日起至办理竣工财务决算之日止发生的管理性质的支出。</w:t>
            </w:r>
          </w:p>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2、市旧城改造项目按“财建〔2016〕504号”执行。</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szCs w:val="21"/>
                <w:lang w:val="en-US" w:eastAsia="zh-CN"/>
              </w:rPr>
            </w:pPr>
            <w:r>
              <w:rPr>
                <w:rFonts w:hint="eastAsia" w:ascii="宋体" w:hAnsi="宋体" w:eastAsia="仿宋_GB2312" w:cs="宋体"/>
                <w:kern w:val="0"/>
                <w:szCs w:val="21"/>
              </w:rPr>
              <w:t>项目单位管理费按照财建[2016]504号文件执行</w:t>
            </w:r>
            <w:r>
              <w:rPr>
                <w:rFonts w:hint="eastAsia" w:ascii="宋体" w:hAnsi="宋体" w:eastAsia="仿宋_GB2312" w:cs="宋体"/>
                <w:kern w:val="0"/>
                <w:szCs w:val="21"/>
                <w:lang w:eastAsia="zh-CN"/>
              </w:rPr>
              <w:t>，</w:t>
            </w:r>
            <w:r>
              <w:rPr>
                <w:rFonts w:hint="eastAsia" w:ascii="宋体" w:hAnsi="宋体" w:eastAsia="仿宋_GB2312" w:cs="宋体"/>
                <w:kern w:val="0"/>
                <w:szCs w:val="21"/>
                <w:lang w:val="en-US" w:eastAsia="zh-CN"/>
              </w:rPr>
              <w:t>按80%计取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lang w:val="en-US" w:eastAsia="zh-CN"/>
              </w:rPr>
              <w:t>区城投公司相关项目按照《红谷滩区人民政府办公室印发&lt;关于支持红谷滩区国有企业做大做强的实施办法&gt;的通知》(红谷府办发〔2021〕49号文)执行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1"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3</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建设工程监理费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指委托工程监理单位对工程实施监理工作所需费用。包括：施工监理和勘察、设计、保修等阶段监理。</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参照执行“发改价格[2007]670号”标准，并按照“洪府发[2004]3号”的70%计取。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kern w:val="0"/>
                <w:szCs w:val="21"/>
                <w:lang w:val="en-US" w:eastAsia="zh-CN"/>
              </w:rPr>
            </w:pPr>
            <w:r>
              <w:rPr>
                <w:rFonts w:hint="eastAsia" w:ascii="宋体" w:hAnsi="宋体" w:eastAsia="仿宋_GB2312" w:cs="宋体"/>
                <w:kern w:val="0"/>
                <w:szCs w:val="21"/>
              </w:rPr>
              <w:t>发改价格[2007]670号”标准</w:t>
            </w:r>
            <w:r>
              <w:rPr>
                <w:rFonts w:hint="eastAsia" w:ascii="宋体" w:hAnsi="宋体" w:eastAsia="仿宋_GB2312" w:cs="宋体"/>
                <w:kern w:val="0"/>
                <w:szCs w:val="21"/>
                <w:lang w:val="en-US" w:eastAsia="zh-CN"/>
              </w:rPr>
              <w:t xml:space="preserve">50%计取 并按照 </w:t>
            </w:r>
            <w:r>
              <w:rPr>
                <w:rFonts w:hint="eastAsia" w:ascii="宋体" w:hAnsi="宋体" w:eastAsia="仿宋_GB2312" w:cs="宋体"/>
                <w:kern w:val="0"/>
                <w:szCs w:val="21"/>
              </w:rPr>
              <w:t>洪府发[2004]3号</w:t>
            </w:r>
            <w:r>
              <w:rPr>
                <w:rFonts w:hint="eastAsia" w:ascii="宋体" w:hAnsi="宋体" w:eastAsia="仿宋_GB2312" w:cs="宋体"/>
                <w:kern w:val="0"/>
                <w:szCs w:val="21"/>
                <w:lang w:val="en-US" w:eastAsia="zh-CN"/>
              </w:rPr>
              <w:t>0.7%~1.055%取值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4</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工程造价咨询费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指委托工程造价咨询单位审核设计概算、编制工程量清单、工程结算和竣工决算等计价文件，以及从事建设各阶段工程造价管理的咨询服务，出具工程造价成果文件等费用。</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执行“赣价协[2021]23号”标准，并按照“洪府发[2004]3号”的70%计取。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5</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招标代理服务费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指招标代理机构接受招标人委托,从事招标业务所需的费用。包括：编制招标文件，审查投标人资格，组织投标人踏勘现场并答疑，组织开标、评标、定标、以及提供招标前期咨询、协调合同的签订等业务。</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执行“发改价格[2011]534号”标准，并下浮20%计取。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kern w:val="0"/>
                <w:szCs w:val="21"/>
                <w:lang w:val="en-US" w:eastAsia="zh-CN"/>
              </w:rPr>
            </w:pPr>
            <w:r>
              <w:rPr>
                <w:rFonts w:hint="eastAsia" w:ascii="宋体" w:hAnsi="宋体" w:eastAsia="仿宋_GB2312" w:cs="宋体"/>
                <w:kern w:val="0"/>
                <w:szCs w:val="21"/>
              </w:rPr>
              <w:t>执行“发改价格[2011]534号”标准</w:t>
            </w:r>
            <w:r>
              <w:rPr>
                <w:rFonts w:hint="eastAsia" w:ascii="宋体" w:hAnsi="宋体" w:eastAsia="仿宋_GB2312" w:cs="宋体"/>
                <w:kern w:val="0"/>
                <w:szCs w:val="21"/>
                <w:lang w:val="en-US" w:eastAsia="zh-CN"/>
              </w:rPr>
              <w:t xml:space="preserve"> 按4.9折且上限为5万元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6</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施工图审查费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指施工图审查机构受建设单位委托，根据国家法律、法规、技术标准与规范，对施工图进行审查所需的费用。</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执行“赣价房字[2000]6号”标准，按70%计取。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因“南昌市城市建设项目各类费率（费用额）取费执收标准 洪府发[2004]3号”文件制定年份较早，结合城市经济现状及相关部门提出的意见调整。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7</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建设项目前期工作咨询费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指建设项目前期工作的咨询收费。包括：建设项目专题研究、</w:t>
            </w:r>
            <w:r>
              <w:rPr>
                <w:rFonts w:hint="eastAsia" w:ascii="宋体" w:hAnsi="宋体" w:eastAsia="仿宋_GB2312" w:cs="宋体"/>
                <w:kern w:val="0"/>
                <w:szCs w:val="21"/>
                <w:highlight w:val="none"/>
              </w:rPr>
              <w:t>编制</w:t>
            </w:r>
            <w:r>
              <w:rPr>
                <w:rFonts w:hint="eastAsia" w:ascii="宋体" w:hAnsi="宋体" w:eastAsia="仿宋_GB2312" w:cs="宋体"/>
                <w:kern w:val="0"/>
                <w:szCs w:val="21"/>
                <w:highlight w:val="none"/>
                <w:lang w:val="en-US" w:eastAsia="zh-CN"/>
              </w:rPr>
              <w:t>项目</w:t>
            </w:r>
            <w:r>
              <w:rPr>
                <w:rFonts w:hint="eastAsia" w:ascii="宋体" w:hAnsi="宋体" w:eastAsia="仿宋_GB2312" w:cs="宋体"/>
                <w:kern w:val="0"/>
                <w:szCs w:val="21"/>
                <w:highlight w:val="none"/>
              </w:rPr>
              <w:t>建议书</w:t>
            </w:r>
            <w:r>
              <w:rPr>
                <w:rFonts w:hint="eastAsia" w:ascii="宋体" w:hAnsi="宋体" w:eastAsia="仿宋_GB2312" w:cs="宋体"/>
                <w:kern w:val="0"/>
                <w:szCs w:val="21"/>
              </w:rPr>
              <w:t>、可行性研究报告,以及其他与建设项目前期工作有关的咨询服务收费。</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参照执行“计价格［1999］1283号”标准，并按照“洪府发[2004]3号”的60%计取。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kern w:val="0"/>
                <w:szCs w:val="21"/>
                <w:lang w:val="en-US" w:eastAsia="zh-CN"/>
              </w:rPr>
            </w:pPr>
            <w:r>
              <w:rPr>
                <w:rFonts w:hint="default" w:ascii="宋体" w:hAnsi="宋体" w:eastAsia="仿宋_GB2312" w:cs="宋体"/>
                <w:kern w:val="0"/>
                <w:szCs w:val="21"/>
                <w:lang w:val="en-US" w:eastAsia="zh-CN"/>
              </w:rPr>
              <w:t>参照执行“计价格［1999］1283号”标准，并按照“洪府发[2004]3号”的</w:t>
            </w:r>
            <w:r>
              <w:rPr>
                <w:rFonts w:hint="eastAsia" w:ascii="宋体" w:hAnsi="宋体" w:eastAsia="仿宋_GB2312" w:cs="宋体"/>
                <w:kern w:val="0"/>
                <w:szCs w:val="21"/>
                <w:lang w:val="en-US" w:eastAsia="zh-CN"/>
              </w:rPr>
              <w:t>5</w:t>
            </w:r>
            <w:r>
              <w:rPr>
                <w:rFonts w:hint="default" w:ascii="宋体" w:hAnsi="宋体" w:eastAsia="仿宋_GB2312" w:cs="宋体"/>
                <w:kern w:val="0"/>
                <w:szCs w:val="21"/>
                <w:lang w:val="en-US" w:eastAsia="zh-CN"/>
              </w:rPr>
              <w:t>0%计取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8</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专项评价费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项目建设单位按照国家规定委托有资质的单位开展专项评价及有关验收工作发生的费用。包括环境影响评价及验收费、安全预评价及验收费、职业病危害预评价及控制效果评价费、地震安全性评价费、地质灾害危险性评价费、水土保持评价及验收费、压覆矿产资源评价费、节能评估费、危险与可操作性分析及安全完整性评价费以及其他专项评价及验收费。</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执行“建标〔2011〕1号”标准，并按照“洪府发[2004]3号”的70%计取。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kern w:val="0"/>
                <w:szCs w:val="21"/>
                <w:lang w:val="en-US" w:eastAsia="zh-CN"/>
              </w:rPr>
            </w:pPr>
            <w:r>
              <w:rPr>
                <w:rFonts w:hint="eastAsia" w:ascii="宋体" w:hAnsi="宋体" w:eastAsia="仿宋_GB2312" w:cs="宋体"/>
                <w:kern w:val="0"/>
                <w:szCs w:val="21"/>
                <w:lang w:eastAsia="zh-CN"/>
              </w:rPr>
              <w:t>执行“建标〔2011〕1号”标准，并按照“洪府发[2004]3号”的</w:t>
            </w:r>
            <w:r>
              <w:rPr>
                <w:rFonts w:hint="eastAsia" w:ascii="宋体" w:hAnsi="宋体" w:eastAsia="仿宋_GB2312" w:cs="宋体"/>
                <w:kern w:val="0"/>
                <w:szCs w:val="21"/>
                <w:lang w:val="en-US" w:eastAsia="zh-CN"/>
              </w:rPr>
              <w:t>4</w:t>
            </w:r>
            <w:r>
              <w:rPr>
                <w:rFonts w:hint="eastAsia" w:ascii="宋体" w:hAnsi="宋体" w:eastAsia="仿宋_GB2312" w:cs="宋体"/>
                <w:kern w:val="0"/>
                <w:szCs w:val="21"/>
                <w:lang w:eastAsia="zh-CN"/>
              </w:rPr>
              <w:t>0%计取</w:t>
            </w:r>
            <w:r>
              <w:rPr>
                <w:rFonts w:hint="eastAsia" w:ascii="宋体" w:hAnsi="宋体" w:eastAsia="仿宋_GB2312" w:cs="宋体"/>
                <w:kern w:val="0"/>
                <w:szCs w:val="21"/>
                <w:lang w:val="en-US" w:eastAsia="zh-CN"/>
              </w:rPr>
              <w:t>，水土保持1.5折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5"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9</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研究试验费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指为本建设项目提供或验证设计数据、资料进行必要的研究试验，按照设计规定在建设过程中必须进行试验所需的费用，以及支付科技成果、先进技术的一次性技术转让费，但不包括： 1、应由科技三项费用（即新产品试制费、中间试验费和重要科学研究补助费）开支的项目。2 应由建筑安装费中列支的施工企业对建筑材料、构件和建筑物进行一般鉴定、检查所发生的费用及技术革新的研究试验费。</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执行“建标〔2011〕1号”标准，并按照“洪府发[2004]3号”的70%计取。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10</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勘察设计费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1、勘察设计费指建设单位委托勘察设计单位为建设项目进行勘察、设计等所需费用，由工程勘察费和工程设计费两部分组成。若采用建筑信息模型（BIM），也可根据工程所在地有关规定，单独计列此费用；2、工程勘察费包括：测绘、勘探、取样、试验、测试、检测、监测等勘察作业，以及编制工程勘察文件和岩土工程设计文件等收取的费用。3、工程设计费包括：编制初步设计文件、施工图设计文件、非标准设备设计文件、施工图预算文件等服务所收取的费用。4、建筑信息模型（BIM）费用。</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工程设计费参照执行“计价格[2002]10号”标准，并按照投资5000万元以下按85%、投资5000万元以上（含）按80%计取。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default" w:ascii="宋体" w:hAnsi="宋体" w:eastAsia="仿宋_GB2312" w:cs="宋体"/>
                <w:szCs w:val="21"/>
                <w:lang w:val="en-US" w:eastAsia="zh-CN"/>
              </w:rPr>
            </w:pPr>
            <w:r>
              <w:rPr>
                <w:rFonts w:hint="eastAsia" w:ascii="宋体" w:hAnsi="宋体" w:eastAsia="仿宋_GB2312" w:cs="宋体"/>
                <w:kern w:val="0"/>
                <w:szCs w:val="21"/>
              </w:rPr>
              <w:t>工程设计费参照执行“计价格[2002]10号”标准，</w:t>
            </w:r>
            <w:r>
              <w:rPr>
                <w:rFonts w:hint="eastAsia" w:ascii="宋体" w:hAnsi="宋体" w:eastAsia="仿宋_GB2312" w:cs="宋体"/>
                <w:kern w:val="0"/>
                <w:szCs w:val="21"/>
                <w:lang w:val="en-US" w:eastAsia="zh-CN"/>
              </w:rPr>
              <w:t>根据实际工作量</w:t>
            </w:r>
            <w:r>
              <w:rPr>
                <w:rFonts w:hint="eastAsia" w:ascii="宋体" w:hAnsi="宋体" w:eastAsia="仿宋_GB2312" w:cs="宋体"/>
                <w:kern w:val="0"/>
                <w:szCs w:val="21"/>
              </w:rPr>
              <w:t>并按照</w:t>
            </w:r>
            <w:r>
              <w:rPr>
                <w:rFonts w:hint="eastAsia" w:ascii="宋体" w:hAnsi="宋体" w:eastAsia="仿宋_GB2312" w:cs="宋体"/>
                <w:kern w:val="0"/>
                <w:szCs w:val="21"/>
                <w:lang w:val="en-US" w:eastAsia="zh-CN"/>
              </w:rPr>
              <w:t>40%计取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11</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场地准备及临时设施费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1、临时设施费是指为满足施工建设需要而供到场地界区的、未列入工程费用的临时水、电、路、讯、气等其他工程费用和建设单位的现场临时建(构)筑物的搭设、维修、拆除、摊销或建设期间租赁费用，以及施工期间专用公路养护费、维修费。2、临时设施应尽量与永久性工程统一考虑。建设场地的大型土石方工程应计入工程费用中。</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执行“建标〔2011〕1号”标准，并按照“洪府发[2004]3号”的60%计取。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6"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12</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特殊设备安全监督检验费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 xml:space="preserve">指在施工现场组装的锅炉及压力容器、压力管道、消防设备、燃气设备、电梯等特殊设备和设施，由安全监察部门按照有关安全监察条例和实施细则以及设计技术要求进行安全检验，应由建设项目支付的、向安全监察部门缴纳的费用。 </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按照本市安全监察部门的规定标准计取。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5"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13</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市政公用设施费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 xml:space="preserve">指使用市政公用设施的建设项目，按照项目所在地省级人民政府有关规定建设或缴纳的市政公用设施建设配套费用，可能发生的公用供水、供气、供热设施建设的贴补费用、供电多回路高可靠性供电费用以及绿化工程补偿费用。 </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pacing w:val="-6"/>
                <w:kern w:val="0"/>
                <w:szCs w:val="21"/>
              </w:rPr>
            </w:pPr>
            <w:r>
              <w:rPr>
                <w:rFonts w:hint="eastAsia" w:ascii="宋体" w:hAnsi="宋体" w:eastAsia="仿宋_GB2312" w:cs="宋体"/>
                <w:spacing w:val="-6"/>
                <w:kern w:val="0"/>
                <w:szCs w:val="21"/>
              </w:rPr>
              <w:t>按《南昌市市政公用设施配套费征收管理办法实施细则》计取，计取金额不包含“可能发生的公用供水、供气、供热设施建设的贴补费用、供电多回路高可靠性供电费用以及绿化工程补偿费用”。</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3"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14</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联合试运转费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新建项目或新增加生产能力的工程在竣工验收前，按照设计文件所规定的工程质量标准和技术要求，进行整个生产线或装置的负荷联合试运转或局部联动试车所发生的费用净支出。当试运转有收入时，则计列收入与支出相抵后的亏损部分，不包括应由设备安装费用开支的试车调试费用，以及在试运转中暴露出来的因施工原因或设备缺陷等发生的处理费用。不发生试运转费的工程或者试运转收入和支出相抵销的工程，不列此费用项目。试运转费用中包括：试运转所需的原料、燃料、油料和动力的消耗费用，机械使用费用，低值易耗品及其他物品的费用和施工单位参加联合试运转人员的工资以及专家指导费等。试运转收入包括试运转产品销售和其他收入。</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执行“建标〔2011〕1号”标准，并按照“洪府发[2004]3号”的70%计取。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15</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工程保险费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指建设项目在建设期间根据需要对建筑工程、安装工程及机器设备和人身安全进行投保而发生的保险费用。包括：建筑安装工程一切险、人身意外伤害险和引进设备财产保险等费用。</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执行“建标〔2011〕1号”标准，并按照“洪府发[2004]3号”的70%计取。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16</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专利及专有技术使用费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指建设项目使用国内外专利和专有技术支付的费用。包括：国外技术及技术资料费、引进有效专利、专有技术使用费和技术保密费；国内有效专利和专有技术使用费；商标权、商誉和特许经营权费等。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执行“建标〔2011〕1号”标准，并按照“洪府发[2004]3号”的70%计取。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9"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17</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生产准备费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指建设项目为保证正常生产(或营业、使用)而发生的人员培训费、提前进厂费以及投产使用初期必备的生产办公生活家具用具等购置费用。1、</w:t>
            </w:r>
            <w:r>
              <w:rPr>
                <w:rStyle w:val="13"/>
                <w:rFonts w:hint="default" w:eastAsia="仿宋_GB2312"/>
                <w:color w:val="auto"/>
                <w:sz w:val="21"/>
                <w:szCs w:val="21"/>
              </w:rPr>
              <w:t>生产准备费</w:t>
            </w:r>
            <w:r>
              <w:rPr>
                <w:rStyle w:val="14"/>
                <w:rFonts w:hint="default" w:eastAsia="仿宋_GB2312"/>
                <w:color w:val="auto"/>
                <w:sz w:val="21"/>
                <w:szCs w:val="21"/>
              </w:rPr>
              <w:t>。包括生产职工培训及提前进厂费。1）新建企业或新增生产能力的扩建企业在交工验收前自行培训或委托其他单位培训技术人员、工人和管理人员所支出的费用。2）生产单位为参加设备安装、调试等以及熟悉工艺流程、机器性能等需要提前进厂人员所支出的费用。费用内容包括：培训人员和提前进厂人员的工资、工资性补贴、职工福利费、差旅交通费、劳动保护费、学习资料费等。2、</w:t>
            </w:r>
            <w:r>
              <w:rPr>
                <w:rStyle w:val="13"/>
                <w:rFonts w:hint="default" w:eastAsia="仿宋_GB2312"/>
                <w:color w:val="auto"/>
                <w:sz w:val="21"/>
                <w:szCs w:val="21"/>
              </w:rPr>
              <w:t>办公和生活家具购置费</w:t>
            </w:r>
            <w:r>
              <w:rPr>
                <w:rStyle w:val="14"/>
                <w:rFonts w:hint="default" w:eastAsia="仿宋_GB2312"/>
                <w:color w:val="auto"/>
                <w:sz w:val="21"/>
                <w:szCs w:val="21"/>
              </w:rPr>
              <w:t>。指为保证新建、改建、扩建项目初期正常生产、使用和管理所必需购置的办公和生活家具用具的费用。改、扩建项目所需的办公和生活用具购置费，应低于新建项目的费用。购置范围包括：办公室、会议室、资料档案室、阅览室、食堂、浴室和宿舍等的家具用具。应本着勤俭节约的精神，严格控制购置范围。</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eastAsia="仿宋_GB2312" w:cs="宋体"/>
                <w:szCs w:val="21"/>
              </w:rPr>
            </w:pPr>
            <w:r>
              <w:rPr>
                <w:rFonts w:hint="eastAsia" w:ascii="宋体" w:hAnsi="宋体" w:eastAsia="仿宋_GB2312" w:cs="宋体"/>
                <w:kern w:val="0"/>
                <w:szCs w:val="21"/>
              </w:rPr>
              <w:t>执行各行业初设概算编制办法标准，并按照“洪府发[2004]3号”的70%计取。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18</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引进技术和进口设备项目的其他费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分为国内、国外两部分：国外部分其他费用指外国工程技术人员来华工资和生活费、出国人员费用，以外币折合成人民币等；国内部分其他费用包括外国工程技术人员来华费用、出国人员费、银行担保费、图纸资料翻译复制费、调剂外汇额度差价费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宋体" w:hAnsi="宋体" w:eastAsia="仿宋_GB2312" w:cs="宋体"/>
                <w:kern w:val="0"/>
                <w:szCs w:val="21"/>
              </w:rPr>
            </w:pPr>
            <w:r>
              <w:rPr>
                <w:rFonts w:hint="eastAsia" w:ascii="宋体" w:hAnsi="宋体" w:eastAsia="仿宋_GB2312" w:cs="宋体"/>
                <w:kern w:val="0"/>
                <w:szCs w:val="21"/>
              </w:rPr>
              <w:t>1、引进项目图纸资料翻译复制费、备品备件测绘费。根据引进项目的具体情况计列或按引进设备（材料）离岸价的比例估列；引进项目发生备品备件测绘费时按具体情况估列。2、出国人员费用，包括设计联络，出国考察、联合设计、设备材料采购、设备材料检验和培训等所发生的旅费、生活费等。依据合同或协议规定的出国人次、期限以及相应的费用标准计算。生活费按照财政部、外交部规定的现行标准计算，旅费按中国民航公布的票价计算。3、来华人员费用，主要包括来华工程技术人员的现场办公费用、往返现场交通费用、接待费用等。依据引进合同或协议有关条款及来华技术人员派遣计划进行计算。来华人员接待费用可按每人次费用指标计算。引进合同价款中已包括的费用内容不得重复计算。4、银行担保费。指引进项目中由国内外金融机构出面提供担保风险和责任所发生的费用，一般按承担保险金额的 5‰计取。</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cs="宋体"/>
                <w:szCs w:val="21"/>
              </w:rPr>
            </w:pPr>
            <w:r>
              <w:rPr>
                <w:rFonts w:hint="eastAsia" w:ascii="宋体" w:hAnsi="宋体" w:eastAsia="仿宋_GB2312" w:cs="宋体"/>
                <w:kern w:val="0"/>
                <w:szCs w:val="21"/>
              </w:rPr>
              <w:t>19</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b/>
                <w:szCs w:val="21"/>
              </w:rPr>
            </w:pPr>
            <w:r>
              <w:rPr>
                <w:rFonts w:hint="eastAsia" w:ascii="宋体" w:hAnsi="宋体" w:eastAsia="仿宋_GB2312" w:cs="宋体"/>
                <w:b/>
                <w:kern w:val="0"/>
                <w:szCs w:val="21"/>
              </w:rPr>
              <w:t>部分桥梁、环保等项目工程综合检测费</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按照国家及地方相关法规、行业规范等要求，对桥梁、环保工程进行安全检测。</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rPr>
                <w:rFonts w:hint="eastAsia" w:ascii="宋体" w:hAnsi="宋体" w:eastAsia="仿宋_GB2312" w:cs="宋体"/>
                <w:szCs w:val="21"/>
              </w:rPr>
            </w:pPr>
            <w:r>
              <w:rPr>
                <w:rFonts w:hint="eastAsia" w:ascii="宋体" w:hAnsi="宋体" w:eastAsia="仿宋_GB2312" w:cs="宋体"/>
                <w:kern w:val="0"/>
                <w:szCs w:val="21"/>
              </w:rPr>
              <w:t>按建安费的5‰计列。</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宋体" w:hAnsi="宋体" w:cs="宋体"/>
                <w:szCs w:val="21"/>
              </w:rPr>
            </w:pPr>
            <w:r>
              <w:rPr>
                <w:rFonts w:hint="eastAsia" w:ascii="宋体" w:hAnsi="宋体" w:eastAsia="仿宋_GB2312" w:cs="宋体"/>
                <w:kern w:val="0"/>
                <w:szCs w:val="21"/>
              </w:rPr>
              <w:t>根据工程实际情况，结合城市经济现状及相关部门提出的意见调整。</w:t>
            </w:r>
          </w:p>
        </w:tc>
      </w:tr>
    </w:tbl>
    <w:p>
      <w:pPr>
        <w:jc w:val="left"/>
        <w:rPr>
          <w:rFonts w:hint="eastAsia" w:ascii="黑体" w:hAnsi="黑体" w:eastAsia="黑体" w:cs="黑体"/>
          <w:bCs/>
          <w:kern w:val="0"/>
          <w:sz w:val="32"/>
          <w:szCs w:val="32"/>
          <w:lang w:val="en-US" w:eastAsia="zh-CN"/>
        </w:rPr>
      </w:pPr>
    </w:p>
    <w:p>
      <w:pPr>
        <w:jc w:val="left"/>
        <w:rPr>
          <w:rFonts w:hint="default" w:ascii="楷体_GB2312" w:hAnsi="楷体_GB2312" w:eastAsia="楷体_GB2312" w:cs="楷体_GB2312"/>
          <w:b/>
          <w:bCs/>
          <w:sz w:val="32"/>
          <w:szCs w:val="32"/>
          <w:lang w:val="en-US" w:eastAsia="zh-CN"/>
        </w:rPr>
      </w:pPr>
      <w:r>
        <w:rPr>
          <w:rFonts w:hint="eastAsia" w:ascii="黑体" w:hAnsi="黑体" w:eastAsia="黑体" w:cs="黑体"/>
          <w:bCs/>
          <w:kern w:val="0"/>
          <w:sz w:val="32"/>
          <w:szCs w:val="32"/>
          <w:lang w:val="en-US" w:eastAsia="zh-CN"/>
        </w:rPr>
        <w:t>附件2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红谷滩区政府投资项目新建市政道路桥梁项目建设控制参考标准表</w:t>
      </w:r>
    </w:p>
    <w:tbl>
      <w:tblPr>
        <w:tblStyle w:val="9"/>
        <w:tblW w:w="1379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8"/>
        <w:gridCol w:w="1222"/>
        <w:gridCol w:w="3389"/>
        <w:gridCol w:w="1798"/>
        <w:gridCol w:w="2484"/>
        <w:gridCol w:w="3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序号</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内容</w:t>
            </w: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建安单价参考指标值上限（单位：元/平方米）</w:t>
            </w:r>
          </w:p>
        </w:tc>
        <w:tc>
          <w:tcPr>
            <w:tcW w:w="42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建设标准设定情形</w:t>
            </w:r>
          </w:p>
        </w:tc>
        <w:tc>
          <w:tcPr>
            <w:tcW w:w="3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exact"/>
        </w:trPr>
        <w:tc>
          <w:tcPr>
            <w:tcW w:w="11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rPr>
              <w:t>1</w:t>
            </w:r>
          </w:p>
        </w:tc>
        <w:tc>
          <w:tcPr>
            <w:tcW w:w="12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市政道路工程</w:t>
            </w: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城市主干道</w:t>
            </w:r>
          </w:p>
        </w:tc>
        <w:tc>
          <w:tcPr>
            <w:tcW w:w="2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主要包括：机动车道、非机动车道、人行道路面结构和路基填挖方、路缘石、平石；1米范围内场地平整。</w:t>
            </w:r>
          </w:p>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不包括路基处理、交通设施、排水、道路照明、道路隔离带绿化、行道树，以及强弱电管道、给水管、燃气管等其它市政管道。</w:t>
            </w:r>
          </w:p>
        </w:tc>
        <w:tc>
          <w:tcPr>
            <w:tcW w:w="372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1、本指标所指的道路工程，主要指新建城市主干道、城市次干道、城市支路，不包括快速路、隧道等。</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2、如工程中存在重大特殊地质状况需特别处理的，存在挡墙工程、道侧绿化以及海绵城市建设要求的，或下穿铁路、绕城、中高压燃气管道、智慧路灯（照明）及军用光缆改造等特殊情况的，建设费用另行考虑。特殊地理条件的土方石另行计算。</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3、按道路面积计取。</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4、以六车道为例的城市主干道（包括非机动道、绿化带等）综合单价为1470万元/公里。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exac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城市次干道</w:t>
            </w:r>
          </w:p>
        </w:tc>
        <w:tc>
          <w:tcPr>
            <w:tcW w:w="2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exac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城市支路</w:t>
            </w:r>
          </w:p>
        </w:tc>
        <w:tc>
          <w:tcPr>
            <w:tcW w:w="2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exact"/>
        </w:trPr>
        <w:tc>
          <w:tcPr>
            <w:tcW w:w="11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1"/>
                <w:szCs w:val="21"/>
                <w:u w:val="none"/>
                <w:lang w:val="en-US" w:eastAsia="zh-CN"/>
              </w:rPr>
              <w:t>2</w:t>
            </w:r>
          </w:p>
        </w:tc>
        <w:tc>
          <w:tcPr>
            <w:tcW w:w="12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市政桥梁工程</w:t>
            </w: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rPr>
              <w:t>7000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混凝土梁桥</w:t>
            </w:r>
          </w:p>
        </w:tc>
        <w:tc>
          <w:tcPr>
            <w:tcW w:w="2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单跨小于50米以下的非涉水桥（含人行天桥）。</w:t>
            </w:r>
          </w:p>
        </w:tc>
        <w:tc>
          <w:tcPr>
            <w:tcW w:w="372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1、主要包括：土石方工程、桩基础工程、桥下部结构工程、桥上部结构工程、桥面系、围堰或钢便桥。</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2、不包括：通信工程以及电力工程中的电缆和设备费用。</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3、如工程中存在重大特殊地质状况需特别处理的，建设费用另行考虑</w:t>
            </w:r>
          </w:p>
          <w:p>
            <w:pPr>
              <w:widowControl/>
              <w:wordWrap/>
              <w:adjustRightInd/>
              <w:snapToGrid/>
              <w:spacing w:line="240" w:lineRule="exact"/>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4、按桥梁投影面积（不含搭板面积）计取。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exac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14000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钢桥</w:t>
            </w:r>
          </w:p>
        </w:tc>
        <w:tc>
          <w:tcPr>
            <w:tcW w:w="2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exact"/>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3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rPr>
              <w:t>8000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混凝土梁桥</w:t>
            </w:r>
          </w:p>
        </w:tc>
        <w:tc>
          <w:tcPr>
            <w:tcW w:w="24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单跨小于50米的涉水桥。</w:t>
            </w: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widowControl/>
        <w:spacing w:line="578" w:lineRule="exact"/>
        <w:textAlignment w:val="center"/>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附件3</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红谷滩区政府投资项目房建类项目建设控制参考标准表</w:t>
      </w:r>
    </w:p>
    <w:tbl>
      <w:tblPr>
        <w:tblStyle w:val="9"/>
        <w:tblW w:w="139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7"/>
        <w:gridCol w:w="2716"/>
        <w:gridCol w:w="2950"/>
        <w:gridCol w:w="4567"/>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序号</w:t>
            </w:r>
          </w:p>
        </w:tc>
        <w:tc>
          <w:tcPr>
            <w:tcW w:w="271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内容</w:t>
            </w:r>
          </w:p>
        </w:tc>
        <w:tc>
          <w:tcPr>
            <w:tcW w:w="2950" w:type="dxa"/>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400" w:lineRule="exact"/>
              <w:jc w:val="center"/>
              <w:textAlignment w:val="center"/>
              <w:rPr>
                <w:rFonts w:hint="eastAsia" w:ascii="仿宋_GB2312" w:hAnsi="宋体" w:eastAsia="仿宋_GB2312" w:cs="仿宋_GB2312"/>
                <w:b/>
                <w:bCs/>
                <w:i w:val="0"/>
                <w:iCs w:val="0"/>
                <w:color w:val="000000"/>
                <w:kern w:val="0"/>
                <w:sz w:val="24"/>
                <w:szCs w:val="24"/>
                <w:u w:val="none"/>
                <w:lang w:val="en-US" w:eastAsia="zh-CN"/>
              </w:rPr>
            </w:pPr>
            <w:r>
              <w:rPr>
                <w:rFonts w:hint="eastAsia" w:ascii="仿宋_GB2312" w:hAnsi="宋体" w:eastAsia="仿宋_GB2312" w:cs="仿宋_GB2312"/>
                <w:b/>
                <w:bCs/>
                <w:i w:val="0"/>
                <w:iCs w:val="0"/>
                <w:color w:val="000000"/>
                <w:kern w:val="0"/>
                <w:sz w:val="24"/>
                <w:szCs w:val="24"/>
                <w:u w:val="none"/>
                <w:lang w:val="en-US" w:eastAsia="zh-CN"/>
              </w:rPr>
              <w:t>建安单价参考指标值上限（单位：元/平方米）</w:t>
            </w:r>
          </w:p>
        </w:tc>
        <w:tc>
          <w:tcPr>
            <w:tcW w:w="4567"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建设标准设定情形</w:t>
            </w:r>
          </w:p>
        </w:tc>
        <w:tc>
          <w:tcPr>
            <w:tcW w:w="28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一</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新建安置房项目建安费用</w:t>
            </w:r>
          </w:p>
        </w:tc>
        <w:tc>
          <w:tcPr>
            <w:tcW w:w="29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p>
        </w:tc>
        <w:tc>
          <w:tcPr>
            <w:tcW w:w="4567" w:type="dxa"/>
            <w:tcBorders>
              <w:top w:val="single" w:color="auto"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建设内容主要包括地上工程、地下工程、室外附属工程，同时考虑了海绵城市、绿建（基本级）、常规基坑支护。</w:t>
            </w:r>
          </w:p>
        </w:tc>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装修标准为</w:t>
            </w:r>
            <w:r>
              <w:rPr>
                <w:rFonts w:ascii="仿宋" w:hAnsi="仿宋" w:eastAsia="仿宋" w:cs="仿宋"/>
                <w:i w:val="0"/>
                <w:iCs w:val="0"/>
                <w:color w:val="000000"/>
                <w:kern w:val="0"/>
                <w:sz w:val="18"/>
                <w:szCs w:val="18"/>
                <w:u w:val="none"/>
                <w:lang w:val="en-US" w:eastAsia="zh-CN"/>
              </w:rPr>
              <w:t>800</w:t>
            </w:r>
            <w:r>
              <w:rPr>
                <w:rFonts w:hint="eastAsia" w:ascii="仿宋_GB2312" w:hAnsi="宋体" w:eastAsia="仿宋_GB2312" w:cs="仿宋_GB2312"/>
                <w:i w:val="0"/>
                <w:iCs w:val="0"/>
                <w:color w:val="000000"/>
                <w:kern w:val="0"/>
                <w:sz w:val="18"/>
                <w:szCs w:val="18"/>
                <w:u w:val="none"/>
                <w:lang w:val="en-US" w:eastAsia="zh-CN"/>
              </w:rPr>
              <w:t>元</w:t>
            </w:r>
            <w:r>
              <w:rPr>
                <w:rFonts w:ascii="仿宋" w:hAnsi="仿宋" w:eastAsia="仿宋" w:cs="仿宋"/>
                <w:i w:val="0"/>
                <w:iCs w:val="0"/>
                <w:color w:val="000000"/>
                <w:kern w:val="0"/>
                <w:sz w:val="18"/>
                <w:szCs w:val="18"/>
                <w:u w:val="none"/>
                <w:lang w:val="en-US" w:eastAsia="zh-CN"/>
              </w:rPr>
              <w:t>/</w:t>
            </w:r>
            <w:r>
              <w:rPr>
                <w:rFonts w:hint="eastAsia" w:ascii="仿宋_GB2312" w:hAnsi="宋体" w:eastAsia="仿宋_GB2312" w:cs="仿宋_GB2312"/>
                <w:i w:val="0"/>
                <w:iCs w:val="0"/>
                <w:color w:val="000000"/>
                <w:kern w:val="0"/>
                <w:sz w:val="18"/>
                <w:szCs w:val="18"/>
                <w:u w:val="none"/>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地上工程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2300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包含上部主体结构、外立面装饰、公共部位装修、给排水、暖通、消防、强弱电、空气能热水器、太阳能及电梯工程等。</w:t>
            </w:r>
          </w:p>
        </w:tc>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按地上部分建筑面积计取，非住宅地上工程建安单价按</w:t>
            </w:r>
            <w:r>
              <w:rPr>
                <w:rFonts w:ascii="仿宋" w:hAnsi="仿宋" w:eastAsia="仿宋" w:cs="仿宋"/>
                <w:i w:val="0"/>
                <w:iCs w:val="0"/>
                <w:color w:val="000000"/>
                <w:kern w:val="0"/>
                <w:sz w:val="18"/>
                <w:szCs w:val="18"/>
                <w:u w:val="none"/>
                <w:lang w:val="en-US" w:eastAsia="zh-CN"/>
              </w:rPr>
              <w:t>2700</w:t>
            </w:r>
            <w:r>
              <w:rPr>
                <w:rFonts w:hint="eastAsia" w:ascii="仿宋_GB2312" w:hAnsi="宋体" w:eastAsia="仿宋_GB2312" w:cs="仿宋_GB2312"/>
                <w:i w:val="0"/>
                <w:iCs w:val="0"/>
                <w:color w:val="000000"/>
                <w:kern w:val="0"/>
                <w:sz w:val="18"/>
                <w:szCs w:val="18"/>
                <w:u w:val="none"/>
                <w:lang w:val="en-US" w:eastAsia="zh-CN"/>
              </w:rPr>
              <w:t>元</w:t>
            </w:r>
            <w:r>
              <w:rPr>
                <w:rFonts w:ascii="仿宋" w:hAnsi="仿宋" w:eastAsia="仿宋" w:cs="仿宋"/>
                <w:i w:val="0"/>
                <w:iCs w:val="0"/>
                <w:color w:val="000000"/>
                <w:kern w:val="0"/>
                <w:sz w:val="18"/>
                <w:szCs w:val="18"/>
                <w:u w:val="none"/>
                <w:lang w:val="en-US" w:eastAsia="zh-CN"/>
              </w:rPr>
              <w:t>/</w:t>
            </w:r>
            <w:r>
              <w:rPr>
                <w:rFonts w:hint="eastAsia" w:ascii="仿宋_GB2312" w:hAnsi="宋体" w:eastAsia="仿宋_GB2312" w:cs="仿宋_GB2312"/>
                <w:i w:val="0"/>
                <w:iCs w:val="0"/>
                <w:color w:val="000000"/>
                <w:kern w:val="0"/>
                <w:sz w:val="18"/>
                <w:szCs w:val="18"/>
                <w:u w:val="none"/>
                <w:lang w:val="en-US" w:eastAsia="zh-CN"/>
              </w:rPr>
              <w:t>平方米控制；按市政府相关文件要求建设装配式建筑。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88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271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地下工程</w:t>
            </w:r>
          </w:p>
        </w:tc>
        <w:tc>
          <w:tcPr>
            <w:tcW w:w="29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4100</w:t>
            </w:r>
          </w:p>
        </w:tc>
        <w:tc>
          <w:tcPr>
            <w:tcW w:w="4567" w:type="dxa"/>
            <w:tcBorders>
              <w:top w:val="single" w:color="000000" w:sz="4" w:space="0"/>
              <w:left w:val="single" w:color="000000" w:sz="4" w:space="0"/>
              <w:bottom w:val="single" w:color="auto" w:sz="4" w:space="0"/>
              <w:right w:val="nil"/>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包括地下室主体结构（含桩基）、土方工程（含基坑支护，不含场平土方）、内部简装、公共部位装修、给排水、暖通及空调、消防、人防（除人防专项规划规定外，一般不含五级及以上等特殊人防，不包括为其他项目建设的异地人防工程）及强弱电工程等，不包括地下水抗浮措施等工程。</w:t>
            </w:r>
          </w:p>
        </w:tc>
        <w:tc>
          <w:tcPr>
            <w:tcW w:w="281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1、按地下室建筑面积计取；</w:t>
            </w:r>
          </w:p>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2、包括常规基坑支护工程（主要指三轴水泥搅拌桩、钻孔灌注桩基坑支护，包括边坡支护、砌体、钢筋混凝土支护主体等）；</w:t>
            </w:r>
          </w:p>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3、包括桩基工程（按照常用的钻孔灌注桩考虑），按地下室建筑面积为基数，350元/平方米。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887"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w:t>
            </w:r>
          </w:p>
        </w:tc>
        <w:tc>
          <w:tcPr>
            <w:tcW w:w="271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室外附属工程</w:t>
            </w:r>
          </w:p>
        </w:tc>
        <w:tc>
          <w:tcPr>
            <w:tcW w:w="295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500</w:t>
            </w:r>
          </w:p>
        </w:tc>
        <w:tc>
          <w:tcPr>
            <w:tcW w:w="456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包括交通设施工程、景观绿化工程、围墙工程、市政工程、室外给排水工程和强弱电工程等。</w:t>
            </w:r>
          </w:p>
        </w:tc>
        <w:tc>
          <w:tcPr>
            <w:tcW w:w="2817"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hint="eastAsia" w:ascii="仿宋_GB2312" w:hAnsi="宋体" w:eastAsia="仿宋_GB2312" w:cs="仿宋_GB2312"/>
                <w:i w:val="0"/>
                <w:iCs w:val="0"/>
                <w:color w:val="000000"/>
                <w:kern w:val="0"/>
                <w:sz w:val="18"/>
                <w:szCs w:val="18"/>
                <w:u w:val="none"/>
                <w:lang w:val="en-US" w:eastAsia="zh-CN"/>
              </w:rPr>
            </w:pPr>
            <w:r>
              <w:rPr>
                <w:rFonts w:hint="eastAsia" w:ascii="仿宋_GB2312" w:hAnsi="宋体" w:eastAsia="仿宋_GB2312" w:cs="仿宋_GB2312"/>
                <w:i w:val="0"/>
                <w:iCs w:val="0"/>
                <w:color w:val="000000"/>
                <w:kern w:val="0"/>
                <w:sz w:val="18"/>
                <w:szCs w:val="18"/>
                <w:u w:val="none"/>
                <w:lang w:val="en-US" w:eastAsia="zh-CN"/>
              </w:rPr>
              <w:t>按室外工程面积计取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8" w:hRule="atLeast"/>
        </w:trPr>
        <w:tc>
          <w:tcPr>
            <w:tcW w:w="88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二</w:t>
            </w:r>
          </w:p>
        </w:tc>
        <w:tc>
          <w:tcPr>
            <w:tcW w:w="2716"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rPr>
              <w:t>新建学校工程建安费用</w:t>
            </w:r>
          </w:p>
        </w:tc>
        <w:tc>
          <w:tcPr>
            <w:tcW w:w="295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p>
        </w:tc>
        <w:tc>
          <w:tcPr>
            <w:tcW w:w="4567" w:type="dxa"/>
            <w:tcBorders>
              <w:top w:val="single" w:color="auto" w:sz="4" w:space="0"/>
              <w:left w:val="nil"/>
              <w:bottom w:val="single" w:color="auto" w:sz="4" w:space="0"/>
              <w:right w:val="single" w:color="auto" w:sz="4" w:space="0"/>
            </w:tcBorders>
            <w:vAlign w:val="center"/>
          </w:tcPr>
          <w:p>
            <w:pPr>
              <w:widowControl/>
              <w:jc w:val="both"/>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新建学校是指政府投资新建的中、小学项目</w:t>
            </w:r>
            <w:r>
              <w:rPr>
                <w:rFonts w:hint="eastAsia" w:ascii="仿宋_GB2312" w:hAnsi="宋体" w:eastAsia="仿宋_GB2312" w:cs="仿宋_GB2312"/>
                <w:i w:val="0"/>
                <w:iCs w:val="0"/>
                <w:color w:val="auto"/>
                <w:kern w:val="0"/>
                <w:sz w:val="18"/>
                <w:szCs w:val="18"/>
                <w:u w:val="none"/>
                <w:lang w:val="en-US" w:eastAsia="zh-CN"/>
              </w:rPr>
              <w:t>、幼儿园</w:t>
            </w:r>
            <w:r>
              <w:rPr>
                <w:rFonts w:hint="eastAsia" w:ascii="仿宋_GB2312" w:hAnsi="宋体" w:eastAsia="仿宋_GB2312" w:cs="仿宋_GB2312"/>
                <w:i w:val="0"/>
                <w:iCs w:val="0"/>
                <w:color w:val="000000"/>
                <w:kern w:val="0"/>
                <w:sz w:val="18"/>
                <w:szCs w:val="18"/>
                <w:u w:val="none"/>
                <w:lang w:val="en-US" w:eastAsia="zh-CN"/>
              </w:rPr>
              <w:t>以及配套公共停车场库工程。建设内容主要包括地上建筑、地下工程、二次装修、室外工程及其他工程，同时考虑了海绵城市、绿建（基本级）、常规基坑支护、实施可再生能源等因素，不包括教学设施设备的采购和超常规建设标准的内容。</w:t>
            </w:r>
          </w:p>
        </w:tc>
        <w:tc>
          <w:tcPr>
            <w:tcW w:w="2817" w:type="dxa"/>
            <w:tcBorders>
              <w:top w:val="single" w:color="auto" w:sz="4" w:space="0"/>
              <w:left w:val="single" w:color="auto"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地上工程</w:t>
            </w:r>
          </w:p>
        </w:tc>
        <w:tc>
          <w:tcPr>
            <w:tcW w:w="29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2600</w:t>
            </w:r>
          </w:p>
        </w:tc>
        <w:tc>
          <w:tcPr>
            <w:tcW w:w="4567" w:type="dxa"/>
            <w:tcBorders>
              <w:top w:val="single" w:color="auto" w:sz="4" w:space="0"/>
              <w:left w:val="single" w:color="000000" w:sz="4" w:space="0"/>
              <w:bottom w:val="nil"/>
              <w:right w:val="nil"/>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主要包括教学楼、实验楼、多功能教室、行政楼、食堂及风雨 操场、学生宿舍等建设内容</w:t>
            </w:r>
          </w:p>
        </w:tc>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按教学建筑面积计取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地下工程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4100</w:t>
            </w:r>
          </w:p>
        </w:tc>
        <w:tc>
          <w:tcPr>
            <w:tcW w:w="4567" w:type="dxa"/>
            <w:tcBorders>
              <w:top w:val="single" w:color="000000" w:sz="4" w:space="0"/>
              <w:left w:val="single" w:color="000000" w:sz="4" w:space="0"/>
              <w:bottom w:val="single" w:color="auto" w:sz="4" w:space="0"/>
              <w:right w:val="nil"/>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按一层地下室考虑，主要包括地下室主体结构（含桩基）、土方工程（含基坑支护，不含场平土方）、内部简装、公共部位装修、电气、给排水、暖通及空调、消防、人防（除人防专项规划规定外，一般不含五级及以上等特殊人防，不包括为其他项目建设的异地人防工程）及弱电工程等，不包括地下水抗浮措施等工程</w:t>
            </w:r>
          </w:p>
        </w:tc>
        <w:tc>
          <w:tcPr>
            <w:tcW w:w="2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按地下建筑面积计取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w:t>
            </w:r>
          </w:p>
        </w:tc>
        <w:tc>
          <w:tcPr>
            <w:tcW w:w="271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二次装修</w:t>
            </w:r>
          </w:p>
        </w:tc>
        <w:tc>
          <w:tcPr>
            <w:tcW w:w="295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700</w:t>
            </w:r>
          </w:p>
        </w:tc>
        <w:tc>
          <w:tcPr>
            <w:tcW w:w="45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rPr>
              <w:t>仅适用于新建学校在已完成土建工程的基础上实施的室内装修，不含功能性用房</w:t>
            </w:r>
          </w:p>
        </w:tc>
        <w:tc>
          <w:tcPr>
            <w:tcW w:w="2817"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按装修面积计取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9" w:hRule="atLeast"/>
        </w:trPr>
        <w:tc>
          <w:tcPr>
            <w:tcW w:w="88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4</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室外附属工程</w:t>
            </w:r>
          </w:p>
        </w:tc>
        <w:tc>
          <w:tcPr>
            <w:tcW w:w="295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600</w:t>
            </w:r>
          </w:p>
        </w:tc>
        <w:tc>
          <w:tcPr>
            <w:tcW w:w="45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包括室外运动场、交通设施工程、景观绿化工程、围墙工程、市政工程、室外给排水工程、雕塑工程、室外安全防护措施工程和强弱电工程等</w:t>
            </w:r>
          </w:p>
        </w:tc>
        <w:tc>
          <w:tcPr>
            <w:tcW w:w="2817"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按室外工程占地面积计取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9"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三</w:t>
            </w:r>
          </w:p>
        </w:tc>
        <w:tc>
          <w:tcPr>
            <w:tcW w:w="271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rPr>
              <w:t>办公用房装修工程建安费用</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p>
        </w:tc>
        <w:tc>
          <w:tcPr>
            <w:tcW w:w="456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rPr>
              <w:t>本标准适用于政府投资的行政事业单位办公用房装修，具体包括分为办公室和公共区域两部分，不包括功能性业务用房装修。</w:t>
            </w:r>
          </w:p>
        </w:tc>
        <w:tc>
          <w:tcPr>
            <w:tcW w:w="2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20"/>
                <w:szCs w:val="20"/>
                <w:u w:val="none"/>
                <w:lang w:val="en-US" w:eastAsia="zh-CN"/>
              </w:rPr>
            </w:pPr>
            <w:r>
              <w:rPr>
                <w:rFonts w:hint="eastAsia" w:ascii="仿宋_GB2312" w:hAnsi="宋体" w:eastAsia="仿宋_GB2312" w:cs="仿宋_GB2312"/>
                <w:i w:val="0"/>
                <w:iCs w:val="0"/>
                <w:color w:val="000000"/>
                <w:kern w:val="0"/>
                <w:sz w:val="20"/>
                <w:szCs w:val="20"/>
                <w:u w:val="none"/>
                <w:lang w:val="en-US" w:eastAsia="zh-CN"/>
              </w:rPr>
              <w:t xml:space="preserve">1、800 元/平方米为工程综合单价上限，按装修面积计取。 </w:t>
            </w:r>
          </w:p>
          <w:p>
            <w:pPr>
              <w:widowControl/>
              <w:jc w:val="left"/>
              <w:textAlignment w:val="center"/>
              <w:rPr>
                <w:rFonts w:hint="eastAsia" w:ascii="仿宋_GB2312" w:hAnsi="宋体" w:eastAsia="仿宋_GB2312" w:cs="仿宋_GB2312"/>
                <w:i w:val="0"/>
                <w:iCs w:val="0"/>
                <w:color w:val="000000"/>
                <w:kern w:val="0"/>
                <w:sz w:val="20"/>
                <w:szCs w:val="20"/>
                <w:u w:val="none"/>
                <w:lang w:val="en-US" w:eastAsia="zh-CN"/>
              </w:rPr>
            </w:pPr>
            <w:r>
              <w:rPr>
                <w:rFonts w:hint="eastAsia" w:ascii="仿宋_GB2312" w:hAnsi="宋体" w:eastAsia="仿宋_GB2312" w:cs="仿宋_GB2312"/>
                <w:i w:val="0"/>
                <w:iCs w:val="0"/>
                <w:color w:val="000000"/>
                <w:kern w:val="0"/>
                <w:sz w:val="20"/>
                <w:szCs w:val="20"/>
                <w:u w:val="none"/>
                <w:lang w:val="en-US" w:eastAsia="zh-CN"/>
              </w:rPr>
              <w:t>2、拆除工程、空调工程、弱电智能化工程、窗户工程发生时参考明细标准表的非常规项目计取。</w:t>
            </w:r>
          </w:p>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3、门禁系统、监控系统、入侵报警系统等大型智能信息化工程；礼堂等有演出功能或有声学设计要求、保密要求的特殊功能性空间等，发生时另行计取。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11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（一）通用项</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办公室</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600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指工作人员办公及储藏空间、会议室、档案室、文印室、保安室、财务室、弱电机房、监控室、仓库、备用间等</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公共区域</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1000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指门厅、走廊、电梯厅、楼梯间、餐厅、卫生间、茶水间、接待室及公共服务大厅等，不含室外工程、专业智能化建设（合成作战中心、反诈中心、执法办案中心等）、专业实验室建设、充电桩工程等</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1120" w:type="dxa"/>
            <w:gridSpan w:val="4"/>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rPr>
              <w:t>（二）非通用项</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拆除工程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250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按拆除部 分建筑面积计取</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窗户工程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600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按窗洞面积计取</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空调工程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450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中央空调，按空调使用区域面积计取</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4</w:t>
            </w:r>
          </w:p>
        </w:tc>
        <w:tc>
          <w:tcPr>
            <w:tcW w:w="2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弱电智能化工程</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120</w:t>
            </w:r>
          </w:p>
        </w:tc>
        <w:tc>
          <w:tcPr>
            <w:tcW w:w="4567"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按装修部分的建筑面积计取（基础智能化）</w:t>
            </w:r>
          </w:p>
        </w:tc>
        <w:tc>
          <w:tcPr>
            <w:tcW w:w="281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bl>
    <w:p>
      <w:pPr>
        <w:widowControl/>
        <w:spacing w:line="578" w:lineRule="exact"/>
        <w:textAlignment w:val="center"/>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附件4</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红谷滩区政府投资项目绿化工程建设控制参考标准表</w:t>
      </w:r>
    </w:p>
    <w:tbl>
      <w:tblPr>
        <w:tblStyle w:val="9"/>
        <w:tblW w:w="138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590"/>
        <w:gridCol w:w="3675"/>
        <w:gridCol w:w="4693"/>
        <w:gridCol w:w="2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序号</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内容</w:t>
            </w:r>
          </w:p>
        </w:tc>
        <w:tc>
          <w:tcPr>
            <w:tcW w:w="3675" w:type="dxa"/>
            <w:tcBorders>
              <w:top w:val="single" w:color="000000" w:sz="4" w:space="0"/>
              <w:left w:val="nil"/>
              <w:bottom w:val="nil"/>
              <w:right w:val="single" w:color="000000" w:sz="4" w:space="0"/>
            </w:tcBorders>
            <w:vAlign w:val="center"/>
          </w:tcPr>
          <w:p>
            <w:pPr>
              <w:widowControl/>
              <w:wordWrap/>
              <w:adjustRightInd/>
              <w:snapToGrid/>
              <w:spacing w:line="40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rPr>
            </w:pPr>
            <w:r>
              <w:rPr>
                <w:rFonts w:hint="eastAsia" w:ascii="仿宋_GB2312" w:hAnsi="宋体" w:eastAsia="仿宋_GB2312" w:cs="仿宋_GB2312"/>
                <w:b/>
                <w:bCs/>
                <w:i w:val="0"/>
                <w:iCs w:val="0"/>
                <w:color w:val="000000"/>
                <w:kern w:val="0"/>
                <w:sz w:val="28"/>
                <w:szCs w:val="28"/>
                <w:u w:val="none"/>
                <w:lang w:val="en-US" w:eastAsia="zh-CN"/>
              </w:rPr>
              <w:t>建安单价参考指标值上限（单位：元/平方米）</w:t>
            </w:r>
          </w:p>
        </w:tc>
        <w:tc>
          <w:tcPr>
            <w:tcW w:w="4693" w:type="dxa"/>
            <w:tcBorders>
              <w:top w:val="single" w:color="000000" w:sz="4" w:space="0"/>
              <w:left w:val="single" w:color="000000" w:sz="4" w:space="0"/>
              <w:bottom w:val="nil"/>
              <w:right w:val="nil"/>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建设标准设定情形</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居住区绿化</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190</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居住区绿化主要指住宅小区房前屋后的绿化种植。一般包括传统园林植物及较易成活且抗逆性较强的植物种植</w:t>
            </w:r>
          </w:p>
        </w:tc>
        <w:tc>
          <w:tcPr>
            <w:tcW w:w="2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20"/>
                <w:szCs w:val="20"/>
                <w:u w:val="none"/>
                <w:lang w:val="en-US" w:eastAsia="zh-CN"/>
              </w:rPr>
            </w:pPr>
            <w:r>
              <w:rPr>
                <w:rFonts w:hint="eastAsia" w:ascii="仿宋_GB2312" w:hAnsi="宋体" w:eastAsia="仿宋_GB2312" w:cs="仿宋_GB2312"/>
                <w:i w:val="0"/>
                <w:iCs w:val="0"/>
                <w:color w:val="000000"/>
                <w:kern w:val="0"/>
                <w:sz w:val="20"/>
                <w:szCs w:val="20"/>
                <w:u w:val="none"/>
                <w:lang w:val="en-US" w:eastAsia="zh-CN"/>
              </w:rPr>
              <w:t>1、景观绿化工程按绿地、硬质铺装及园路面积计取；植物绿化按绿地面积计取；行道树按行道树株数计取；临时绿化工程按绿地面积计取。</w:t>
            </w:r>
          </w:p>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2、如绿化工程需要增加名贵树种、定制大型雕塑、定制标志性景石、使用特殊材料或者涉及大量土石方工程的，费用另行考虑。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道侧绿化</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城市主干道 250</w:t>
            </w:r>
          </w:p>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城市次干道 200</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道侧绿化指道路两侧（含中央分隔带）的绿化。一般包括苗木种植、园路铺装以及少量景观设施</w:t>
            </w:r>
          </w:p>
        </w:tc>
        <w:tc>
          <w:tcPr>
            <w:tcW w:w="202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行道树</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单株标准按当月信息价计取，种植穴、种植土和侧石 500 元/处</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行道树主要指人行道上单独种植的乔木，包括行道树、种植穴、种植土和侧石</w:t>
            </w:r>
          </w:p>
        </w:tc>
        <w:tc>
          <w:tcPr>
            <w:tcW w:w="202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4</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公园纯绿化工程</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190</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如由于地形原因，需实施大量土石方工程的，费用另行考虑</w:t>
            </w:r>
          </w:p>
        </w:tc>
        <w:tc>
          <w:tcPr>
            <w:tcW w:w="202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5</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公园景观绿化（绿道）工程</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400</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包括绿化工程、景观工程、园路铺装、给水工程、路灯工程、市政家具等内容。如由于地形原因，需实施大量土石方工程的，费用另行考虑</w:t>
            </w:r>
          </w:p>
        </w:tc>
        <w:tc>
          <w:tcPr>
            <w:tcW w:w="202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6</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临时绿化</w:t>
            </w:r>
          </w:p>
        </w:tc>
        <w:tc>
          <w:tcPr>
            <w:tcW w:w="3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80</w:t>
            </w:r>
          </w:p>
        </w:tc>
        <w:tc>
          <w:tcPr>
            <w:tcW w:w="4693"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临时绿地主要用于拆除后的临时复绿项目，一般仅包括苗木种植，以草本及灌木为主</w:t>
            </w:r>
          </w:p>
        </w:tc>
        <w:tc>
          <w:tcPr>
            <w:tcW w:w="202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0"/>
                <w:szCs w:val="20"/>
                <w:u w:val="none"/>
              </w:rPr>
            </w:pPr>
          </w:p>
        </w:tc>
      </w:tr>
    </w:tbl>
    <w:p>
      <w:pPr>
        <w:widowControl/>
        <w:spacing w:line="578" w:lineRule="exact"/>
        <w:textAlignment w:val="center"/>
        <w:rPr>
          <w:rFonts w:hint="eastAsia" w:ascii="黑体" w:hAnsi="黑体" w:eastAsia="黑体" w:cs="黑体"/>
          <w:bCs/>
          <w:kern w:val="0"/>
          <w:sz w:val="32"/>
          <w:szCs w:val="32"/>
          <w:lang w:val="en-US" w:eastAsia="zh-CN"/>
        </w:rPr>
      </w:pPr>
    </w:p>
    <w:p>
      <w:pPr>
        <w:widowControl/>
        <w:spacing w:line="578" w:lineRule="exact"/>
        <w:textAlignment w:val="center"/>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附件5</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6"/>
          <w:szCs w:val="36"/>
          <w:lang w:val="en-US" w:eastAsia="zh-CN"/>
        </w:rPr>
        <w:t>红谷滩区政府投资项目外立面维修改造工程建设控制参考标准表</w:t>
      </w:r>
    </w:p>
    <w:tbl>
      <w:tblPr>
        <w:tblStyle w:val="9"/>
        <w:tblW w:w="139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72"/>
        <w:gridCol w:w="1386"/>
        <w:gridCol w:w="1183"/>
        <w:gridCol w:w="3611"/>
        <w:gridCol w:w="3264"/>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序号</w:t>
            </w:r>
          </w:p>
        </w:tc>
        <w:tc>
          <w:tcPr>
            <w:tcW w:w="3641" w:type="dxa"/>
            <w:gridSpan w:val="3"/>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内容</w:t>
            </w:r>
          </w:p>
        </w:tc>
        <w:tc>
          <w:tcPr>
            <w:tcW w:w="3611" w:type="dxa"/>
            <w:tcBorders>
              <w:top w:val="single" w:color="000000" w:sz="4" w:space="0"/>
              <w:left w:val="nil"/>
              <w:bottom w:val="nil"/>
              <w:right w:val="single" w:color="000000" w:sz="4" w:space="0"/>
            </w:tcBorders>
            <w:vAlign w:val="center"/>
          </w:tcPr>
          <w:p>
            <w:pPr>
              <w:widowControl/>
              <w:wordWrap/>
              <w:adjustRightInd/>
              <w:snapToGrid/>
              <w:spacing w:line="40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rPr>
            </w:pPr>
            <w:r>
              <w:rPr>
                <w:rFonts w:hint="eastAsia" w:ascii="仿宋_GB2312" w:hAnsi="宋体" w:eastAsia="仿宋_GB2312" w:cs="仿宋_GB2312"/>
                <w:b/>
                <w:bCs/>
                <w:i w:val="0"/>
                <w:iCs w:val="0"/>
                <w:color w:val="000000"/>
                <w:kern w:val="0"/>
                <w:sz w:val="28"/>
                <w:szCs w:val="28"/>
                <w:u w:val="none"/>
                <w:lang w:val="en-US" w:eastAsia="zh-CN"/>
              </w:rPr>
              <w:t>建安单价参考指标值上限（单位：元/平方米）</w:t>
            </w:r>
          </w:p>
        </w:tc>
        <w:tc>
          <w:tcPr>
            <w:tcW w:w="3264" w:type="dxa"/>
            <w:tcBorders>
              <w:top w:val="single" w:color="000000" w:sz="4" w:space="0"/>
              <w:left w:val="single" w:color="000000" w:sz="4" w:space="0"/>
              <w:bottom w:val="nil"/>
              <w:right w:val="nil"/>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建设标准设定情形</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立面</w:t>
            </w:r>
          </w:p>
        </w:tc>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外墙面修复</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涂料</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70</w:t>
            </w:r>
          </w:p>
        </w:tc>
        <w:tc>
          <w:tcPr>
            <w:tcW w:w="3264" w:type="dxa"/>
            <w:vMerge w:val="restart"/>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外立面工程主要包括外墙面修复、空调架、防盗窗等的拆除和新装</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按涂料面积计取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面砖</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130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按外墙面砖面积计取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真石漆</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150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按漆面面积计取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铝板</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700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按铝板面积计取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干挂石材</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rPr>
              <w:t>1000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不含进口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25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空调架（含空调移位）</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360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按延长米计取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256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680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按个计取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exac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防盗窗（拆除和新装）</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280</w:t>
            </w:r>
          </w:p>
        </w:tc>
        <w:tc>
          <w:tcPr>
            <w:tcW w:w="3264" w:type="dxa"/>
            <w:vMerge w:val="continue"/>
            <w:tcBorders>
              <w:top w:val="single" w:color="000000" w:sz="4" w:space="0"/>
              <w:left w:val="single" w:color="000000" w:sz="4" w:space="0"/>
              <w:bottom w:val="single" w:color="000000" w:sz="4" w:space="0"/>
              <w:right w:val="nil"/>
            </w:tcBorders>
            <w:vAlign w:val="center"/>
          </w:tcPr>
          <w:p>
            <w:pPr>
              <w:jc w:val="center"/>
              <w:rPr>
                <w:rFonts w:hint="eastAsia" w:ascii="仿宋_GB2312" w:hAnsi="宋体" w:eastAsia="仿宋_GB2312" w:cs="仿宋_GB2312"/>
                <w:i w:val="0"/>
                <w:iCs w:val="0"/>
                <w:color w:val="000000"/>
                <w:sz w:val="22"/>
                <w:szCs w:val="22"/>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按防盗窗面积计取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exact"/>
        </w:trPr>
        <w:tc>
          <w:tcPr>
            <w:tcW w:w="98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屋面</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小青瓦屋面</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280</w:t>
            </w:r>
          </w:p>
        </w:tc>
        <w:tc>
          <w:tcPr>
            <w:tcW w:w="3264" w:type="dxa"/>
            <w:vMerge w:val="restart"/>
            <w:tcBorders>
              <w:top w:val="nil"/>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屋面工程主要包括破损屋面的拆旧、建筑垃圾的清理（含人工搬运及外运）、并按原屋面类型重新制作完成</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按屋面维修面积计取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exact"/>
        </w:trPr>
        <w:tc>
          <w:tcPr>
            <w:tcW w:w="98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水泥平瓦</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160</w:t>
            </w:r>
          </w:p>
        </w:tc>
        <w:tc>
          <w:tcPr>
            <w:tcW w:w="3264" w:type="dxa"/>
            <w:vMerge w:val="continue"/>
            <w:tcBorders>
              <w:top w:val="nil"/>
              <w:left w:val="single" w:color="000000" w:sz="4" w:space="0"/>
              <w:bottom w:val="single" w:color="000000" w:sz="4" w:space="0"/>
              <w:right w:val="nil"/>
            </w:tcBorders>
            <w:vAlign w:val="center"/>
          </w:tcPr>
          <w:p>
            <w:pPr>
              <w:jc w:val="left"/>
              <w:rPr>
                <w:rFonts w:hint="eastAsia" w:ascii="仿宋_GB2312" w:hAnsi="宋体" w:eastAsia="仿宋_GB2312" w:cs="仿宋_GB2312"/>
                <w:i w:val="0"/>
                <w:iCs w:val="0"/>
                <w:color w:val="000000"/>
                <w:sz w:val="20"/>
                <w:szCs w:val="20"/>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按屋面维修面积计取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exact"/>
        </w:trPr>
        <w:tc>
          <w:tcPr>
            <w:tcW w:w="98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2"/>
                <w:szCs w:val="22"/>
                <w:u w:val="none"/>
              </w:rPr>
            </w:pP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平屋面</w:t>
            </w:r>
          </w:p>
        </w:tc>
        <w:tc>
          <w:tcPr>
            <w:tcW w:w="3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160</w:t>
            </w:r>
          </w:p>
        </w:tc>
        <w:tc>
          <w:tcPr>
            <w:tcW w:w="3264" w:type="dxa"/>
            <w:vMerge w:val="continue"/>
            <w:tcBorders>
              <w:top w:val="nil"/>
              <w:left w:val="single" w:color="000000" w:sz="4" w:space="0"/>
              <w:bottom w:val="single" w:color="000000" w:sz="4" w:space="0"/>
              <w:right w:val="nil"/>
            </w:tcBorders>
            <w:vAlign w:val="center"/>
          </w:tcPr>
          <w:p>
            <w:pPr>
              <w:jc w:val="left"/>
              <w:rPr>
                <w:rFonts w:hint="eastAsia" w:ascii="仿宋_GB2312" w:hAnsi="宋体" w:eastAsia="仿宋_GB2312" w:cs="仿宋_GB2312"/>
                <w:i w:val="0"/>
                <w:iCs w:val="0"/>
                <w:color w:val="000000"/>
                <w:sz w:val="20"/>
                <w:szCs w:val="20"/>
                <w:u w:val="none"/>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按屋面维修面积计取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exact"/>
        </w:trPr>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3</w:t>
            </w:r>
          </w:p>
        </w:tc>
        <w:tc>
          <w:tcPr>
            <w:tcW w:w="3641" w:type="dxa"/>
            <w:gridSpan w:val="3"/>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室外立管</w:t>
            </w:r>
          </w:p>
        </w:tc>
        <w:tc>
          <w:tcPr>
            <w:tcW w:w="36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2"/>
                <w:szCs w:val="22"/>
                <w:u w:val="none"/>
              </w:rPr>
            </w:pPr>
          </w:p>
        </w:tc>
        <w:tc>
          <w:tcPr>
            <w:tcW w:w="3264"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小区室外立管安装工程主要包括旧管的拆除外运和新管制作安装</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按立管长度计取</w:t>
            </w:r>
          </w:p>
        </w:tc>
      </w:tr>
    </w:tbl>
    <w:p>
      <w:pPr>
        <w:widowControl/>
        <w:spacing w:line="578" w:lineRule="exact"/>
        <w:textAlignment w:val="center"/>
        <w:rPr>
          <w:rFonts w:hint="eastAsia" w:ascii="黑体" w:hAnsi="黑体" w:eastAsia="黑体" w:cs="黑体"/>
          <w:bCs/>
          <w:kern w:val="0"/>
          <w:sz w:val="32"/>
          <w:szCs w:val="32"/>
          <w:lang w:val="en-US" w:eastAsia="zh-CN"/>
        </w:rPr>
      </w:pPr>
    </w:p>
    <w:p>
      <w:pPr>
        <w:widowControl/>
        <w:spacing w:line="578" w:lineRule="exact"/>
        <w:textAlignment w:val="center"/>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附件6</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红谷滩区政府投资项目公共停车场建设控制参考标准表</w:t>
      </w:r>
    </w:p>
    <w:tbl>
      <w:tblPr>
        <w:tblStyle w:val="9"/>
        <w:tblW w:w="143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5"/>
        <w:gridCol w:w="2159"/>
        <w:gridCol w:w="1642"/>
        <w:gridCol w:w="2724"/>
        <w:gridCol w:w="4227"/>
        <w:gridCol w:w="2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exac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序号</w:t>
            </w: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内容</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kern w:val="0"/>
                <w:sz w:val="24"/>
                <w:lang w:eastAsia="zh-CN"/>
              </w:rPr>
            </w:pPr>
            <w:r>
              <w:rPr>
                <w:rFonts w:hint="eastAsia" w:ascii="黑体" w:hAnsi="黑体" w:eastAsia="黑体" w:cs="黑体"/>
                <w:bCs/>
                <w:kern w:val="0"/>
                <w:sz w:val="24"/>
              </w:rPr>
              <w:t>参考指标值</w:t>
            </w:r>
          </w:p>
          <w:p>
            <w:pPr>
              <w:widowControl/>
              <w:spacing w:line="300" w:lineRule="exact"/>
              <w:jc w:val="center"/>
              <w:textAlignment w:val="center"/>
              <w:rPr>
                <w:rFonts w:hint="eastAsia" w:ascii="黑体" w:hAnsi="黑体" w:eastAsia="黑体" w:cs="黑体"/>
                <w:bCs/>
                <w:kern w:val="0"/>
                <w:sz w:val="24"/>
              </w:rPr>
            </w:pPr>
            <w:r>
              <w:rPr>
                <w:rFonts w:hint="eastAsia" w:ascii="黑体" w:hAnsi="黑体" w:eastAsia="黑体" w:cs="黑体"/>
                <w:bCs/>
                <w:kern w:val="0"/>
                <w:sz w:val="24"/>
              </w:rPr>
              <w:t>（单位：万元/车位）</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建设标准设定情形</w:t>
            </w:r>
          </w:p>
        </w:tc>
        <w:tc>
          <w:tcPr>
            <w:tcW w:w="292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hint="eastAsia" w:ascii="黑体" w:hAnsi="黑体" w:eastAsia="黑体" w:cs="黑体"/>
                <w:bCs/>
                <w:sz w:val="24"/>
              </w:rPr>
            </w:pPr>
            <w:r>
              <w:rPr>
                <w:rFonts w:hint="eastAsia" w:ascii="黑体" w:hAnsi="黑体" w:eastAsia="黑体" w:cs="黑体"/>
                <w:bCs/>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szCs w:val="21"/>
              </w:rPr>
            </w:pPr>
            <w:r>
              <w:rPr>
                <w:rFonts w:hint="eastAsia" w:ascii="仿宋" w:hAnsi="仿宋" w:eastAsia="仿宋_GB2312" w:cs="仿宋"/>
                <w:kern w:val="0"/>
                <w:szCs w:val="21"/>
              </w:rPr>
              <w:t>地下公共停车场</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仿宋_GB2312" w:cs="宋体"/>
                <w:kern w:val="0"/>
                <w:szCs w:val="21"/>
              </w:rPr>
            </w:pPr>
            <w:r>
              <w:rPr>
                <w:rFonts w:hint="eastAsia" w:ascii="宋体" w:hAnsi="宋体" w:eastAsia="仿宋_GB2312" w:cs="宋体"/>
                <w:kern w:val="0"/>
                <w:szCs w:val="21"/>
              </w:rPr>
              <w:t>16</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_GB2312" w:cs="仿宋"/>
                <w:szCs w:val="21"/>
              </w:rPr>
            </w:pPr>
            <w:r>
              <w:rPr>
                <w:rFonts w:hint="eastAsia" w:ascii="仿宋" w:hAnsi="仿宋" w:eastAsia="仿宋_GB2312" w:cs="仿宋"/>
                <w:kern w:val="0"/>
                <w:szCs w:val="21"/>
              </w:rPr>
              <w:t>地下公共停车场主要包括基坑支护、地下建筑、交通标识标牌、停车机械设备安装和人防工程（除人防专项规划规定外，一般不含五级以上等特殊人防）等</w:t>
            </w:r>
          </w:p>
        </w:tc>
        <w:tc>
          <w:tcPr>
            <w:tcW w:w="292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textAlignment w:val="center"/>
              <w:rPr>
                <w:rFonts w:hint="eastAsia" w:ascii="仿宋" w:hAnsi="仿宋" w:eastAsia="仿宋_GB2312" w:cs="仿宋"/>
                <w:kern w:val="0"/>
                <w:szCs w:val="21"/>
              </w:rPr>
            </w:pPr>
            <w:r>
              <w:rPr>
                <w:rFonts w:hint="eastAsia" w:ascii="仿宋" w:hAnsi="仿宋" w:eastAsia="仿宋_GB2312" w:cs="仿宋"/>
                <w:kern w:val="0"/>
                <w:szCs w:val="21"/>
              </w:rPr>
              <w:t>1、本标准所指的公共停车场库工程，是指新建、改建、扩建的地上与地下单、多层公共停车场，以及多层、高层钢结构立体停车库；</w:t>
            </w:r>
          </w:p>
          <w:p>
            <w:pPr>
              <w:widowControl/>
              <w:spacing w:line="300" w:lineRule="exact"/>
              <w:textAlignment w:val="center"/>
              <w:rPr>
                <w:rFonts w:hint="eastAsia" w:ascii="仿宋" w:hAnsi="仿宋" w:eastAsia="仿宋_GB2312" w:cs="仿宋"/>
                <w:kern w:val="0"/>
                <w:szCs w:val="21"/>
              </w:rPr>
            </w:pPr>
            <w:r>
              <w:rPr>
                <w:rFonts w:hint="eastAsia" w:ascii="仿宋" w:hAnsi="仿宋" w:eastAsia="仿宋_GB2312" w:cs="仿宋"/>
                <w:kern w:val="0"/>
                <w:szCs w:val="21"/>
              </w:rPr>
              <w:t>2、地下停车场场按一层地下室考虑；</w:t>
            </w:r>
          </w:p>
          <w:p>
            <w:pPr>
              <w:widowControl/>
              <w:spacing w:line="300" w:lineRule="exact"/>
              <w:textAlignment w:val="center"/>
              <w:rPr>
                <w:rFonts w:hint="eastAsia" w:ascii="仿宋" w:hAnsi="仿宋" w:eastAsia="仿宋_GB2312" w:cs="仿宋"/>
                <w:szCs w:val="21"/>
              </w:rPr>
            </w:pPr>
            <w:r>
              <w:rPr>
                <w:rFonts w:hint="eastAsia" w:ascii="仿宋" w:hAnsi="仿宋" w:eastAsia="仿宋_GB2312" w:cs="仿宋"/>
                <w:kern w:val="0"/>
                <w:szCs w:val="21"/>
              </w:rPr>
              <w:t>3、按车位数量计取。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8"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szCs w:val="21"/>
              </w:rPr>
            </w:pPr>
            <w:r>
              <w:rPr>
                <w:rFonts w:hint="eastAsia" w:ascii="宋体" w:hAnsi="宋体" w:eastAsia="宋体" w:cs="宋体"/>
                <w:kern w:val="0"/>
                <w:szCs w:val="21"/>
              </w:rPr>
              <w:t>2</w:t>
            </w: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_GB2312" w:cs="仿宋"/>
                <w:szCs w:val="21"/>
              </w:rPr>
            </w:pPr>
            <w:r>
              <w:rPr>
                <w:rFonts w:hint="eastAsia" w:ascii="仿宋" w:hAnsi="仿宋" w:eastAsia="仿宋_GB2312" w:cs="仿宋"/>
                <w:kern w:val="0"/>
                <w:szCs w:val="21"/>
              </w:rPr>
              <w:t>地上立体停车库</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_GB2312" w:cs="仿宋"/>
                <w:kern w:val="0"/>
                <w:szCs w:val="21"/>
              </w:rPr>
              <w:t>混凝土结构</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仿宋_GB2312" w:cs="宋体"/>
                <w:kern w:val="0"/>
                <w:szCs w:val="21"/>
              </w:rPr>
            </w:pPr>
            <w:r>
              <w:rPr>
                <w:rFonts w:hint="eastAsia" w:ascii="宋体" w:hAnsi="宋体" w:eastAsia="仿宋_GB2312" w:cs="宋体"/>
                <w:kern w:val="0"/>
                <w:szCs w:val="21"/>
              </w:rPr>
              <w:t>12</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_GB2312" w:cs="仿宋"/>
                <w:szCs w:val="21"/>
              </w:rPr>
            </w:pPr>
            <w:r>
              <w:rPr>
                <w:rFonts w:hint="eastAsia" w:ascii="仿宋" w:hAnsi="仿宋" w:eastAsia="仿宋_GB2312" w:cs="仿宋"/>
                <w:kern w:val="0"/>
                <w:szCs w:val="21"/>
              </w:rPr>
              <w:t>地上混凝土结构立体停车场主要包括土建工程、交通标识标牌和停车场设备等</w:t>
            </w:r>
          </w:p>
        </w:tc>
        <w:tc>
          <w:tcPr>
            <w:tcW w:w="29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8"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szCs w:val="21"/>
              </w:rPr>
            </w:pPr>
            <w:r>
              <w:rPr>
                <w:rFonts w:hint="eastAsia" w:ascii="宋体" w:hAnsi="宋体" w:eastAsia="宋体" w:cs="宋体"/>
                <w:kern w:val="0"/>
                <w:szCs w:val="21"/>
              </w:rPr>
              <w:t>3</w:t>
            </w:r>
          </w:p>
        </w:tc>
        <w:tc>
          <w:tcPr>
            <w:tcW w:w="215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szCs w:val="21"/>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_GB2312" w:cs="仿宋"/>
                <w:kern w:val="0"/>
                <w:szCs w:val="21"/>
              </w:rPr>
              <w:t>机械式</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仿宋_GB2312" w:cs="宋体"/>
                <w:kern w:val="0"/>
                <w:szCs w:val="21"/>
                <w:lang w:eastAsia="zh-CN"/>
              </w:rPr>
            </w:pPr>
            <w:r>
              <w:rPr>
                <w:rFonts w:hint="eastAsia" w:ascii="宋体" w:hAnsi="宋体" w:eastAsia="仿宋_GB2312" w:cs="宋体"/>
                <w:kern w:val="0"/>
                <w:szCs w:val="21"/>
              </w:rPr>
              <w:t>1</w:t>
            </w:r>
            <w:r>
              <w:rPr>
                <w:rFonts w:hint="eastAsia" w:ascii="宋体" w:hAnsi="宋体" w:eastAsia="仿宋_GB2312" w:cs="宋体"/>
                <w:kern w:val="0"/>
                <w:szCs w:val="21"/>
                <w:lang w:val="en-US" w:eastAsia="zh-CN"/>
              </w:rPr>
              <w:t>0</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_GB2312" w:cs="仿宋"/>
                <w:szCs w:val="21"/>
              </w:rPr>
            </w:pPr>
            <w:r>
              <w:rPr>
                <w:rFonts w:hint="eastAsia" w:ascii="仿宋" w:hAnsi="仿宋" w:eastAsia="仿宋_GB2312" w:cs="仿宋"/>
                <w:kern w:val="0"/>
                <w:szCs w:val="21"/>
              </w:rPr>
              <w:t>地上机械式立体停车场主要包括土建工程、机械立体车库设备等</w:t>
            </w:r>
          </w:p>
        </w:tc>
        <w:tc>
          <w:tcPr>
            <w:tcW w:w="29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szCs w:val="21"/>
              </w:rPr>
            </w:pPr>
            <w:r>
              <w:rPr>
                <w:rFonts w:hint="eastAsia" w:ascii="宋体" w:hAnsi="宋体" w:eastAsia="宋体" w:cs="宋体"/>
                <w:kern w:val="0"/>
                <w:szCs w:val="21"/>
              </w:rPr>
              <w:t>4</w:t>
            </w: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szCs w:val="21"/>
              </w:rPr>
            </w:pPr>
            <w:r>
              <w:rPr>
                <w:rFonts w:hint="eastAsia" w:ascii="仿宋" w:hAnsi="仿宋" w:eastAsia="仿宋_GB2312" w:cs="仿宋"/>
                <w:kern w:val="0"/>
                <w:szCs w:val="21"/>
              </w:rPr>
              <w:t>快充充电桩</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仿宋_GB2312" w:cs="宋体"/>
                <w:kern w:val="0"/>
                <w:szCs w:val="21"/>
                <w:lang w:val="en-US" w:eastAsia="zh-CN"/>
              </w:rPr>
            </w:pPr>
            <w:r>
              <w:rPr>
                <w:rFonts w:hint="eastAsia" w:ascii="宋体" w:hAnsi="宋体" w:eastAsia="仿宋_GB2312" w:cs="宋体"/>
                <w:kern w:val="0"/>
                <w:szCs w:val="21"/>
                <w:lang w:val="en-US" w:eastAsia="zh-CN"/>
              </w:rPr>
              <w:t>2.5</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仿宋" w:hAnsi="仿宋" w:eastAsia="仿宋" w:cs="仿宋"/>
                <w:szCs w:val="21"/>
              </w:rPr>
            </w:pPr>
          </w:p>
        </w:tc>
        <w:tc>
          <w:tcPr>
            <w:tcW w:w="29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8"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szCs w:val="21"/>
              </w:rPr>
            </w:pPr>
            <w:r>
              <w:rPr>
                <w:rFonts w:hint="eastAsia" w:ascii="宋体" w:hAnsi="宋体" w:eastAsia="宋体" w:cs="宋体"/>
                <w:kern w:val="0"/>
                <w:szCs w:val="21"/>
              </w:rPr>
              <w:t>5</w:t>
            </w:r>
          </w:p>
        </w:tc>
        <w:tc>
          <w:tcPr>
            <w:tcW w:w="3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szCs w:val="21"/>
              </w:rPr>
            </w:pPr>
            <w:r>
              <w:rPr>
                <w:rFonts w:hint="eastAsia" w:ascii="仿宋" w:hAnsi="仿宋" w:eastAsia="仿宋_GB2312" w:cs="仿宋"/>
                <w:kern w:val="0"/>
                <w:szCs w:val="21"/>
              </w:rPr>
              <w:t>慢充充电桩</w:t>
            </w:r>
          </w:p>
        </w:tc>
        <w:tc>
          <w:tcPr>
            <w:tcW w:w="2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仿宋_GB2312" w:cs="宋体"/>
                <w:kern w:val="0"/>
                <w:szCs w:val="21"/>
                <w:lang w:val="en-US" w:eastAsia="zh-CN"/>
              </w:rPr>
            </w:pPr>
            <w:r>
              <w:rPr>
                <w:rFonts w:hint="eastAsia" w:ascii="宋体" w:hAnsi="宋体" w:eastAsia="仿宋_GB2312" w:cs="宋体"/>
                <w:kern w:val="0"/>
                <w:szCs w:val="21"/>
              </w:rPr>
              <w:t>0.</w:t>
            </w:r>
            <w:r>
              <w:rPr>
                <w:rFonts w:hint="eastAsia" w:ascii="宋体" w:hAnsi="宋体" w:eastAsia="仿宋_GB2312" w:cs="宋体"/>
                <w:kern w:val="0"/>
                <w:szCs w:val="21"/>
                <w:lang w:val="en-US" w:eastAsia="zh-CN"/>
              </w:rPr>
              <w:t>3</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仿宋" w:hAnsi="仿宋" w:eastAsia="仿宋" w:cs="仿宋"/>
                <w:szCs w:val="21"/>
              </w:rPr>
            </w:pPr>
          </w:p>
        </w:tc>
        <w:tc>
          <w:tcPr>
            <w:tcW w:w="29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rPr>
                <w:rFonts w:hint="eastAsia" w:ascii="仿宋" w:hAnsi="仿宋" w:eastAsia="仿宋" w:cs="仿宋"/>
                <w:szCs w:val="21"/>
              </w:rPr>
            </w:pPr>
          </w:p>
        </w:tc>
      </w:tr>
    </w:tbl>
    <w:p>
      <w:pPr>
        <w:widowControl/>
        <w:spacing w:line="578" w:lineRule="exact"/>
        <w:textAlignment w:val="center"/>
        <w:rPr>
          <w:rFonts w:hint="default" w:ascii="黑体" w:hAnsi="黑体" w:eastAsia="黑体" w:cs="黑体"/>
          <w:bCs/>
          <w:kern w:val="0"/>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黑体" w:hAnsi="黑体" w:eastAsia="黑体" w:cs="黑体"/>
          <w:bCs/>
          <w:kern w:val="0"/>
          <w:sz w:val="32"/>
          <w:szCs w:val="32"/>
          <w:lang w:val="en-US" w:eastAsia="zh-CN"/>
        </w:rPr>
        <w:t>附件7</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红谷滩区政府投资项目非常规项建设控制参考标准表</w:t>
      </w:r>
    </w:p>
    <w:tbl>
      <w:tblPr>
        <w:tblStyle w:val="9"/>
        <w:tblW w:w="137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1439"/>
        <w:gridCol w:w="1851"/>
        <w:gridCol w:w="2824"/>
        <w:gridCol w:w="3765"/>
        <w:gridCol w:w="3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atLeast"/>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序号</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内容</w:t>
            </w:r>
          </w:p>
        </w:tc>
        <w:tc>
          <w:tcPr>
            <w:tcW w:w="4675" w:type="dxa"/>
            <w:gridSpan w:val="2"/>
            <w:tcBorders>
              <w:top w:val="single" w:color="000000" w:sz="4" w:space="0"/>
              <w:left w:val="nil"/>
              <w:bottom w:val="nil"/>
              <w:right w:val="single" w:color="000000" w:sz="4" w:space="0"/>
            </w:tcBorders>
            <w:vAlign w:val="center"/>
          </w:tcPr>
          <w:p>
            <w:pPr>
              <w:widowControl/>
              <w:wordWrap/>
              <w:adjustRightInd/>
              <w:snapToGrid/>
              <w:spacing w:line="40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rPr>
            </w:pPr>
            <w:r>
              <w:rPr>
                <w:rFonts w:hint="eastAsia" w:ascii="仿宋_GB2312" w:hAnsi="宋体" w:eastAsia="仿宋_GB2312" w:cs="仿宋_GB2312"/>
                <w:b/>
                <w:bCs/>
                <w:i w:val="0"/>
                <w:iCs w:val="0"/>
                <w:color w:val="000000"/>
                <w:kern w:val="0"/>
                <w:sz w:val="28"/>
                <w:szCs w:val="28"/>
                <w:u w:val="none"/>
                <w:lang w:val="en-US" w:eastAsia="zh-CN"/>
              </w:rPr>
              <w:t>建安单价参考指标值上限（单位：万元/延米）</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建设标准设定情形</w:t>
            </w:r>
          </w:p>
        </w:tc>
        <w:tc>
          <w:tcPr>
            <w:tcW w:w="30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6" w:hRule="atLeast"/>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1</w:t>
            </w:r>
          </w:p>
        </w:tc>
        <w:tc>
          <w:tcPr>
            <w:tcW w:w="14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基坑支护工程</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地下一层</w:t>
            </w:r>
          </w:p>
        </w:tc>
        <w:tc>
          <w:tcPr>
            <w:tcW w:w="2824"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新建一般房建工程：</w:t>
            </w:r>
          </w:p>
          <w:p>
            <w:pPr>
              <w:widowControl/>
              <w:jc w:val="left"/>
              <w:textAlignment w:val="center"/>
              <w:rPr>
                <w:rFonts w:hint="eastAsia" w:ascii="仿宋_GB2312" w:hAnsi="宋体" w:eastAsia="仿宋_GB2312" w:cs="仿宋_GB2312"/>
                <w:i w:val="0"/>
                <w:iCs w:val="0"/>
                <w:color w:val="000000"/>
                <w:kern w:val="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rPr>
              <w:t xml:space="preserve">1、地下一层：2.9 万元/延米；地下二层：3.9 万元/延米; </w:t>
            </w:r>
          </w:p>
          <w:p>
            <w:pPr>
              <w:widowControl/>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2、地下二层地下室基坑支护费用占地下室费用比例上限为30%；地下一层地下室基坑支护用占地下室费用比例上限为10%</w:t>
            </w:r>
          </w:p>
        </w:tc>
        <w:tc>
          <w:tcPr>
            <w:tcW w:w="376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kern w:val="0"/>
                <w:sz w:val="20"/>
                <w:szCs w:val="20"/>
                <w:u w:val="none"/>
                <w:lang w:val="en-US" w:eastAsia="zh-CN"/>
              </w:rPr>
            </w:pPr>
            <w:r>
              <w:rPr>
                <w:rFonts w:hint="eastAsia" w:ascii="仿宋_GB2312" w:hAnsi="宋体" w:eastAsia="仿宋_GB2312" w:cs="仿宋_GB2312"/>
                <w:i w:val="0"/>
                <w:iCs w:val="0"/>
                <w:color w:val="000000"/>
                <w:kern w:val="0"/>
                <w:sz w:val="20"/>
                <w:szCs w:val="20"/>
                <w:u w:val="none"/>
                <w:lang w:val="en-US" w:eastAsia="zh-CN"/>
              </w:rPr>
              <w:t>1、非常规基坑支护是指距离现有建筑5米以内、基坑开挖深度超过5米；邻近地铁、铁路、桥梁、水域等地质情况较差等情况。</w:t>
            </w:r>
          </w:p>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2、分为2类：1）地下一层：主要采用放坡+土钉墙、钢支撑、灌注桩等方法；2）地下二层：主要按灌注桩（旋挖或回旋）+三轴搅拌桩+内支撑等方法。</w:t>
            </w:r>
          </w:p>
        </w:tc>
        <w:tc>
          <w:tcPr>
            <w:tcW w:w="30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按基坑周长（延米）计取。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2</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rPr>
              <w:t>装配式建筑工程</w:t>
            </w:r>
          </w:p>
        </w:tc>
        <w:tc>
          <w:tcPr>
            <w:tcW w:w="185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2"/>
                <w:szCs w:val="22"/>
                <w:u w:val="none"/>
              </w:rPr>
            </w:pPr>
          </w:p>
        </w:tc>
        <w:tc>
          <w:tcPr>
            <w:tcW w:w="2824"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600元/平方米（常规建筑差价）</w:t>
            </w:r>
          </w:p>
        </w:tc>
        <w:tc>
          <w:tcPr>
            <w:tcW w:w="376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装配率达35%的装配式建筑</w:t>
            </w:r>
          </w:p>
        </w:tc>
        <w:tc>
          <w:tcPr>
            <w:tcW w:w="30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rPr>
              <w:t>按装配式面积计取。</w:t>
            </w:r>
          </w:p>
        </w:tc>
      </w:tr>
    </w:tbl>
    <w:p>
      <w:pPr>
        <w:pStyle w:val="8"/>
        <w:spacing w:before="0" w:beforeAutospacing="0" w:after="0" w:afterAutospacing="0" w:line="578" w:lineRule="exact"/>
        <w:jc w:val="both"/>
        <w:rPr>
          <w:rFonts w:hint="eastAsia" w:ascii="仿宋" w:hAnsi="仿宋" w:eastAsia="仿宋_GB2312" w:cs="仿宋"/>
          <w:bCs/>
          <w:sz w:val="32"/>
          <w:szCs w:val="32"/>
          <w:lang w:eastAsia="zh-CN"/>
        </w:rPr>
        <w:sectPr>
          <w:footerReference r:id="rId3" w:type="default"/>
          <w:pgSz w:w="16838" w:h="11906" w:orient="landscape"/>
          <w:pgMar w:top="1800" w:right="1440" w:bottom="1800" w:left="1440" w:header="851" w:footer="992" w:gutter="0"/>
          <w:pgNumType w:fmt="numberInDash"/>
          <w:cols w:space="720" w:num="1"/>
          <w:docGrid w:type="lines" w:linePitch="312" w:charSpace="0"/>
        </w:sect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8"/>
        <w:spacing w:before="0" w:beforeAutospacing="0" w:after="0" w:afterAutospacing="0" w:line="578" w:lineRule="exact"/>
        <w:jc w:val="both"/>
        <w:rPr>
          <w:rFonts w:hint="eastAsia" w:ascii="仿宋" w:hAnsi="仿宋" w:eastAsia="仿宋_GB2312" w:cs="仿宋"/>
          <w:bCs/>
          <w:sz w:val="32"/>
          <w:szCs w:val="32"/>
          <w:lang w:eastAsia="zh-CN"/>
        </w:rPr>
      </w:pPr>
    </w:p>
    <w:p>
      <w:pPr>
        <w:pStyle w:val="2"/>
        <w:widowControl w:val="0"/>
        <w:pBdr>
          <w:top w:val="single" w:color="auto" w:sz="4" w:space="1"/>
          <w:left w:val="none" w:color="auto" w:sz="0" w:space="4"/>
          <w:bottom w:val="single" w:color="auto" w:sz="4" w:space="1"/>
          <w:right w:val="none" w:color="auto" w:sz="0" w:space="4"/>
          <w:between w:val="single" w:color="auto" w:sz="4" w:space="0"/>
        </w:pBdr>
        <w:ind w:left="0" w:leftChars="0" w:firstLine="0" w:firstLineChars="0"/>
        <w:jc w:val="both"/>
        <w:rPr>
          <w:rFonts w:hint="eastAsia" w:ascii="仿宋" w:hAnsi="仿宋" w:eastAsia="仿宋_GB2312" w:cs="仿宋"/>
          <w:bCs/>
          <w:sz w:val="32"/>
          <w:szCs w:val="32"/>
          <w:lang w:eastAsia="zh-CN"/>
        </w:rPr>
      </w:pPr>
      <w:r>
        <w:rPr>
          <w:rFonts w:hint="eastAsia" w:ascii="楷体_GB2312" w:hAnsi="楷体_GB2312" w:eastAsia="楷体_GB2312" w:cs="楷体_GB2312"/>
          <w:b w:val="0"/>
          <w:bCs w:val="0"/>
          <w:sz w:val="32"/>
          <w:szCs w:val="32"/>
          <w:u w:val="none"/>
          <w:lang w:val="en-US" w:eastAsia="zh-CN"/>
        </w:rPr>
        <w:t>南昌市红谷滩区政府办公室        2021年12月7日印发</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rFonts w:ascii="Times New Roman" w:hAnsi="Times New Roman" w:eastAsia="宋体" w:cs="Times New Roman"/>
        <w:kern w:val="2"/>
        <w:sz w:val="20"/>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YMUA8MBAACPAwAADgAAAAAAAAABACAAAAAfAQAAZHJzL2Uyb0RvYy54bWxQ&#10;SwUGAAAAAAYABgBZAQAAVAU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NmI0MWY2N2U4NTkxMjlhNmQ2M2IyZTQzY2FmYTcifQ=="/>
  </w:docVars>
  <w:rsids>
    <w:rsidRoot w:val="52762A2F"/>
    <w:rsid w:val="010E3A48"/>
    <w:rsid w:val="044240D7"/>
    <w:rsid w:val="056B6412"/>
    <w:rsid w:val="08077E3B"/>
    <w:rsid w:val="0AAE780E"/>
    <w:rsid w:val="0F3357D6"/>
    <w:rsid w:val="12225504"/>
    <w:rsid w:val="13D54619"/>
    <w:rsid w:val="14822B47"/>
    <w:rsid w:val="17A82548"/>
    <w:rsid w:val="193D7B7B"/>
    <w:rsid w:val="1A1F1371"/>
    <w:rsid w:val="1B16583C"/>
    <w:rsid w:val="1D371552"/>
    <w:rsid w:val="1F6E376A"/>
    <w:rsid w:val="1FB86244"/>
    <w:rsid w:val="255D1E32"/>
    <w:rsid w:val="265737DF"/>
    <w:rsid w:val="26AF10CE"/>
    <w:rsid w:val="26C26E55"/>
    <w:rsid w:val="2A3E6075"/>
    <w:rsid w:val="2E8D1CF7"/>
    <w:rsid w:val="2F120C34"/>
    <w:rsid w:val="33AB397E"/>
    <w:rsid w:val="355A765D"/>
    <w:rsid w:val="39562423"/>
    <w:rsid w:val="3E246F3D"/>
    <w:rsid w:val="3F592B49"/>
    <w:rsid w:val="3F6E25E6"/>
    <w:rsid w:val="3FEC5DBB"/>
    <w:rsid w:val="40D10A0A"/>
    <w:rsid w:val="43406338"/>
    <w:rsid w:val="43F66415"/>
    <w:rsid w:val="444F6E8B"/>
    <w:rsid w:val="45275DB2"/>
    <w:rsid w:val="4AAF15AF"/>
    <w:rsid w:val="4B9151D1"/>
    <w:rsid w:val="4BB349B0"/>
    <w:rsid w:val="4E0E2603"/>
    <w:rsid w:val="4EF0346E"/>
    <w:rsid w:val="4F1759F7"/>
    <w:rsid w:val="4F3C1C89"/>
    <w:rsid w:val="52762A2F"/>
    <w:rsid w:val="53706903"/>
    <w:rsid w:val="540F1EA2"/>
    <w:rsid w:val="5465758B"/>
    <w:rsid w:val="54A86241"/>
    <w:rsid w:val="55452499"/>
    <w:rsid w:val="56CE7264"/>
    <w:rsid w:val="57CE3129"/>
    <w:rsid w:val="581105C7"/>
    <w:rsid w:val="58551B11"/>
    <w:rsid w:val="58CD1CD5"/>
    <w:rsid w:val="59222F5A"/>
    <w:rsid w:val="59615F57"/>
    <w:rsid w:val="5A6D48D1"/>
    <w:rsid w:val="5ACE0028"/>
    <w:rsid w:val="5AE31D22"/>
    <w:rsid w:val="60BE5AF8"/>
    <w:rsid w:val="60EE65F8"/>
    <w:rsid w:val="61850887"/>
    <w:rsid w:val="67FC1A7F"/>
    <w:rsid w:val="68223D90"/>
    <w:rsid w:val="6BC2497A"/>
    <w:rsid w:val="6C0F7964"/>
    <w:rsid w:val="6F254E95"/>
    <w:rsid w:val="71BB7E4B"/>
    <w:rsid w:val="79537A10"/>
    <w:rsid w:val="7AEC0F0D"/>
    <w:rsid w:val="7B171D79"/>
    <w:rsid w:val="7DC20061"/>
    <w:rsid w:val="7E784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spacing w:line="751" w:lineRule="exact"/>
      <w:ind w:left="2310" w:right="2389"/>
      <w:outlineLvl w:val="1"/>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sz w:val="32"/>
      <w:szCs w:val="32"/>
    </w:rPr>
  </w:style>
  <w:style w:type="paragraph" w:styleId="5">
    <w:name w:val="Body Text Indent 2"/>
    <w:basedOn w:val="1"/>
    <w:qFormat/>
    <w:uiPriority w:val="0"/>
    <w:pPr>
      <w:spacing w:after="120" w:line="480" w:lineRule="auto"/>
      <w:ind w:left="420" w:left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1">
    <w:name w:val="无间隔1"/>
    <w:qFormat/>
    <w:uiPriority w:val="1"/>
    <w:pPr>
      <w:adjustRightInd w:val="0"/>
      <w:snapToGrid w:val="0"/>
    </w:pPr>
    <w:rPr>
      <w:rFonts w:ascii="Tahoma" w:hAnsi="Tahoma" w:eastAsia="宋体" w:cs="宋体"/>
      <w:sz w:val="22"/>
      <w:szCs w:val="22"/>
      <w:lang w:val="en-US" w:eastAsia="zh-CN" w:bidi="ar-SA"/>
    </w:rPr>
  </w:style>
  <w:style w:type="paragraph" w:customStyle="1" w:styleId="12">
    <w:name w:val="Table Paragraph"/>
    <w:basedOn w:val="1"/>
    <w:qFormat/>
    <w:uiPriority w:val="1"/>
    <w:rPr>
      <w:rFonts w:ascii="仿宋_GB2312" w:hAnsi="仿宋_GB2312" w:eastAsia="仿宋_GB2312" w:cs="仿宋_GB2312"/>
      <w:lang w:val="zh-CN" w:eastAsia="zh-CN" w:bidi="zh-CN"/>
    </w:rPr>
  </w:style>
  <w:style w:type="character" w:customStyle="1" w:styleId="13">
    <w:name w:val="font121"/>
    <w:basedOn w:val="10"/>
    <w:qFormat/>
    <w:uiPriority w:val="0"/>
    <w:rPr>
      <w:rFonts w:hint="eastAsia" w:ascii="宋体" w:hAnsi="宋体" w:eastAsia="宋体" w:cs="宋体"/>
      <w:b/>
      <w:color w:val="000000"/>
      <w:sz w:val="24"/>
      <w:szCs w:val="24"/>
      <w:u w:val="none"/>
    </w:rPr>
  </w:style>
  <w:style w:type="character" w:customStyle="1" w:styleId="14">
    <w:name w:val="font13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11963</Words>
  <Characters>12423</Characters>
  <Lines>0</Lines>
  <Paragraphs>0</Paragraphs>
  <TotalTime>9</TotalTime>
  <ScaleCrop>false</ScaleCrop>
  <LinksUpToDate>false</LinksUpToDate>
  <CharactersWithSpaces>12622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2021-09-20T09:02:00Z</dcterms:created>
  <dc:creator>Administrator</dc:creator>
  <cp:lastModifiedBy>或朵支</cp:lastModifiedBy>
  <cp:lastPrinted>2021-12-08T03:46:00Z</cp:lastPrinted>
  <dcterms:modified xsi:type="dcterms:W3CDTF">2022-06-06T08:19:20Z</dcterms:modified>
  <dc:title>红谷滩区政府投资项目建设控制标准（试行）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BD8B4312800D4F348604CB5B1238AB9B</vt:lpwstr>
  </property>
</Properties>
</file>