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0" w:firstLineChars="0"/>
        <w:jc w:val="both"/>
        <w:textAlignment w:val="auto"/>
        <w:rPr>
          <w:rFonts w:hint="eastAsia" w:asciiTheme="majorEastAsia" w:hAnsiTheme="majorEastAsia" w:eastAsiaTheme="majorEastAsia" w:cstheme="majorEastAsia"/>
          <w:b/>
          <w:bCs/>
          <w:spacing w:val="-29"/>
          <w:sz w:val="44"/>
          <w:szCs w:val="44"/>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0" w:firstLineChars="0"/>
        <w:jc w:val="center"/>
        <w:textAlignment w:val="auto"/>
        <w:rPr>
          <w:rFonts w:hint="eastAsia" w:asciiTheme="majorEastAsia" w:hAnsiTheme="majorEastAsia" w:eastAsiaTheme="majorEastAsia" w:cstheme="majorEastAsia"/>
          <w:b/>
          <w:bCs/>
          <w:spacing w:val="-14"/>
          <w:sz w:val="44"/>
          <w:szCs w:val="44"/>
        </w:rPr>
      </w:pPr>
      <w:bookmarkStart w:id="1" w:name="_GoBack"/>
      <w:r>
        <w:rPr>
          <w:rFonts w:hint="eastAsia" w:asciiTheme="majorEastAsia" w:hAnsiTheme="majorEastAsia" w:eastAsiaTheme="majorEastAsia" w:cstheme="majorEastAsia"/>
          <w:b/>
          <w:bCs/>
          <w:spacing w:val="-29"/>
          <w:sz w:val="44"/>
          <w:szCs w:val="44"/>
          <w:lang w:val="en-US" w:eastAsia="zh-CN"/>
        </w:rPr>
        <w:t>红谷滩区政务服务数据管理局</w:t>
      </w: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3年</w:t>
      </w:r>
      <w:r>
        <w:rPr>
          <w:rFonts w:hint="eastAsia" w:asciiTheme="majorEastAsia" w:hAnsiTheme="majorEastAsia" w:eastAsiaTheme="majorEastAsia" w:cstheme="majorEastAsia"/>
          <w:b/>
          <w:bCs/>
          <w:spacing w:val="-14"/>
          <w:sz w:val="44"/>
          <w:szCs w:val="44"/>
        </w:rPr>
        <w:t>部门</w:t>
      </w:r>
    </w:p>
    <w:p>
      <w:pPr>
        <w:pStyle w:val="4"/>
        <w:keepNext w:val="0"/>
        <w:keepLines w:val="0"/>
        <w:pageBreakBefore w:val="0"/>
        <w:widowControl w:val="0"/>
        <w:kinsoku/>
        <w:wordWrap/>
        <w:overflowPunct/>
        <w:topLinePunct w:val="0"/>
        <w:autoSpaceDE w:val="0"/>
        <w:autoSpaceDN w:val="0"/>
        <w:bidi w:val="0"/>
        <w:adjustRightInd/>
        <w:snapToGrid/>
        <w:spacing w:before="0" w:after="0" w:line="600" w:lineRule="exact"/>
        <w:ind w:left="0" w:leftChars="0" w:right="0" w:firstLine="0" w:firstLineChars="0"/>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pacing w:val="-14"/>
          <w:sz w:val="44"/>
          <w:szCs w:val="44"/>
        </w:rPr>
        <w:t>预算编制说明</w:t>
      </w:r>
    </w:p>
    <w:bookmarkEnd w:id="1"/>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jc w:val="both"/>
        <w:textAlignment w:val="auto"/>
        <w:rPr>
          <w:rFonts w:hint="eastAsia" w:asciiTheme="majorEastAsia" w:hAnsiTheme="majorEastAsia" w:eastAsiaTheme="majorEastAsia" w:cstheme="majorEastAsia"/>
          <w:b/>
          <w:bCs/>
          <w:sz w:val="32"/>
          <w:szCs w:val="32"/>
        </w:rPr>
      </w:pPr>
    </w:p>
    <w:p>
      <w:pPr>
        <w:pStyle w:val="7"/>
        <w:keepNext w:val="0"/>
        <w:keepLines w:val="0"/>
        <w:pageBreakBefore w:val="0"/>
        <w:widowControl w:val="0"/>
        <w:tabs>
          <w:tab w:val="left" w:pos="639"/>
        </w:tabs>
        <w:kinsoku/>
        <w:wordWrap/>
        <w:overflowPunct/>
        <w:topLinePunct w:val="0"/>
        <w:autoSpaceDE w:val="0"/>
        <w:autoSpaceDN w:val="0"/>
        <w:bidi w:val="0"/>
        <w:adjustRightInd/>
        <w:snapToGrid/>
        <w:spacing w:before="0" w:after="0" w:line="600" w:lineRule="exact"/>
        <w:ind w:left="0" w:right="0"/>
        <w:jc w:val="center"/>
        <w:textAlignment w:val="auto"/>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目</w:t>
      </w:r>
      <w:r>
        <w:rPr>
          <w:rFonts w:hint="eastAsia" w:asciiTheme="majorEastAsia" w:hAnsiTheme="majorEastAsia" w:eastAsiaTheme="majorEastAsia" w:cstheme="majorEastAsia"/>
          <w:b/>
          <w:bCs/>
          <w:sz w:val="32"/>
          <w:szCs w:val="32"/>
        </w:rPr>
        <w:tab/>
      </w:r>
      <w:r>
        <w:rPr>
          <w:rFonts w:hint="eastAsia" w:asciiTheme="majorEastAsia" w:hAnsiTheme="majorEastAsia" w:eastAsiaTheme="majorEastAsia" w:cstheme="majorEastAsia"/>
          <w:b/>
          <w:bCs/>
          <w:sz w:val="32"/>
          <w:szCs w:val="32"/>
        </w:rPr>
        <w:t>录</w:t>
      </w:r>
    </w:p>
    <w:p>
      <w:pPr>
        <w:pStyle w:val="7"/>
        <w:keepNext w:val="0"/>
        <w:keepLines w:val="0"/>
        <w:pageBreakBefore w:val="0"/>
        <w:widowControl w:val="0"/>
        <w:tabs>
          <w:tab w:val="left" w:pos="639"/>
        </w:tabs>
        <w:kinsoku/>
        <w:wordWrap/>
        <w:overflowPunct/>
        <w:topLinePunct w:val="0"/>
        <w:autoSpaceDE w:val="0"/>
        <w:autoSpaceDN w:val="0"/>
        <w:bidi w:val="0"/>
        <w:adjustRightInd/>
        <w:snapToGrid/>
        <w:spacing w:before="0" w:after="0" w:line="600" w:lineRule="exact"/>
        <w:ind w:left="0" w:right="0"/>
        <w:jc w:val="center"/>
        <w:textAlignment w:val="auto"/>
        <w:rPr>
          <w:rFonts w:hint="eastAsia" w:asciiTheme="majorEastAsia" w:hAnsiTheme="majorEastAsia" w:eastAsiaTheme="majorEastAsia" w:cstheme="majorEastAsia"/>
          <w:b/>
          <w:bCs/>
          <w:sz w:val="32"/>
          <w:szCs w:val="32"/>
        </w:rPr>
      </w:pPr>
    </w:p>
    <w:p>
      <w:pPr>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0"/>
        <w:jc w:val="both"/>
        <w:textAlignment w:val="auto"/>
        <w:rPr>
          <w:rFonts w:hint="eastAsia" w:ascii="仿宋" w:hAnsi="仿宋" w:eastAsia="仿宋" w:cs="仿宋"/>
          <w:sz w:val="32"/>
          <w:szCs w:val="32"/>
        </w:rPr>
      </w:pPr>
      <w:r>
        <w:rPr>
          <w:rFonts w:hint="eastAsia" w:ascii="仿宋" w:hAnsi="仿宋" w:eastAsia="仿宋" w:cs="仿宋"/>
          <w:b/>
          <w:sz w:val="32"/>
          <w:szCs w:val="32"/>
        </w:rPr>
        <w:t xml:space="preserve">第一部分 </w:t>
      </w:r>
      <w:r>
        <w:rPr>
          <w:rFonts w:hint="eastAsia" w:ascii="仿宋" w:hAnsi="仿宋" w:eastAsia="仿宋" w:cs="仿宋"/>
          <w:spacing w:val="-12"/>
          <w:kern w:val="0"/>
          <w:sz w:val="32"/>
          <w:szCs w:val="32"/>
          <w:lang w:val="en-US" w:eastAsia="zh-CN" w:bidi="zh-CN"/>
        </w:rPr>
        <w:t>红谷滩区政务服务数据管理局概况</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一、部门主要职责</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二、部门基本情况</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right="0"/>
        <w:jc w:val="both"/>
        <w:textAlignment w:val="auto"/>
        <w:rPr>
          <w:rFonts w:hint="eastAsia" w:ascii="仿宋" w:hAnsi="仿宋" w:eastAsia="仿宋" w:cs="仿宋"/>
          <w:sz w:val="32"/>
          <w:szCs w:val="32"/>
        </w:rPr>
      </w:pPr>
      <w:r>
        <w:rPr>
          <w:rFonts w:hint="eastAsia" w:ascii="仿宋" w:hAnsi="仿宋" w:eastAsia="仿宋" w:cs="仿宋"/>
          <w:b/>
          <w:spacing w:val="5"/>
          <w:sz w:val="32"/>
          <w:szCs w:val="32"/>
        </w:rPr>
        <w:t>第二部分</w:t>
      </w:r>
      <w:r>
        <w:rPr>
          <w:rFonts w:hint="eastAsia" w:ascii="仿宋" w:hAnsi="仿宋" w:eastAsia="仿宋" w:cs="仿宋"/>
          <w:b/>
          <w:spacing w:val="5"/>
          <w:sz w:val="32"/>
          <w:szCs w:val="32"/>
          <w:lang w:val="en-US" w:eastAsia="zh-CN"/>
        </w:rPr>
        <w:t xml:space="preserve"> </w:t>
      </w:r>
      <w:r>
        <w:rPr>
          <w:rFonts w:hint="eastAsia" w:ascii="仿宋" w:hAnsi="仿宋" w:eastAsia="仿宋" w:cs="仿宋"/>
          <w:spacing w:val="-12"/>
          <w:kern w:val="0"/>
          <w:sz w:val="32"/>
          <w:szCs w:val="32"/>
          <w:lang w:val="en-US" w:eastAsia="zh-CN" w:bidi="zh-CN"/>
        </w:rPr>
        <w:t>红谷滩区政务服务数据管理局2023年部门预算情况说明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一、部门预算收支情况说明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二、“三公”经费预算情况说明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jc w:val="both"/>
        <w:textAlignment w:val="auto"/>
        <w:rPr>
          <w:rFonts w:hint="eastAsia" w:ascii="仿宋" w:hAnsi="仿宋" w:eastAsia="仿宋" w:cs="仿宋"/>
          <w:spacing w:val="-37"/>
          <w:sz w:val="32"/>
          <w:szCs w:val="32"/>
        </w:rPr>
      </w:pPr>
      <w:r>
        <w:rPr>
          <w:rFonts w:hint="eastAsia" w:ascii="仿宋" w:hAnsi="仿宋" w:eastAsia="仿宋" w:cs="仿宋"/>
          <w:b/>
          <w:spacing w:val="13"/>
          <w:sz w:val="32"/>
          <w:szCs w:val="32"/>
        </w:rPr>
        <w:t xml:space="preserve">第三部分 </w:t>
      </w:r>
      <w:r>
        <w:rPr>
          <w:rFonts w:hint="eastAsia" w:ascii="仿宋" w:hAnsi="仿宋" w:eastAsia="仿宋" w:cs="仿宋"/>
          <w:spacing w:val="-12"/>
          <w:kern w:val="0"/>
          <w:sz w:val="32"/>
          <w:szCs w:val="32"/>
          <w:lang w:val="en-US" w:eastAsia="zh-CN" w:bidi="zh-CN"/>
        </w:rPr>
        <w:t>红谷滩区政务服务数据管理局2023年部门预算表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一、《收支预算总表》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二、《部门收入总表》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三、《部门支出总表》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四、《财政拨款收支总表》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五、《一般公共预算支出表》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六、《一般公共预算基本支出表》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七、《一般公共预算“三公”经费支出表》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八、《政府性基金预算支出表》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default"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九、《国有资本经营预算支出表》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十、《部门整体支出绩效目标表》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592" w:firstLineChars="200"/>
        <w:jc w:val="both"/>
        <w:textAlignment w:val="auto"/>
        <w:outlineLvl w:val="9"/>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十一、《一级项目绩效目标表》</w:t>
      </w: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640" w:firstLineChars="20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600" w:lineRule="exact"/>
        <w:ind w:left="0" w:right="0" w:firstLine="643" w:firstLineChars="200"/>
        <w:jc w:val="both"/>
        <w:textAlignment w:val="auto"/>
        <w:outlineLvl w:val="9"/>
        <w:rPr>
          <w:rFonts w:hint="eastAsia" w:ascii="仿宋" w:hAnsi="仿宋" w:eastAsia="仿宋" w:cs="仿宋"/>
          <w:sz w:val="32"/>
          <w:szCs w:val="32"/>
        </w:rPr>
      </w:pPr>
      <w:r>
        <w:rPr>
          <w:rFonts w:hint="eastAsia" w:ascii="仿宋" w:hAnsi="仿宋" w:eastAsia="仿宋" w:cs="仿宋"/>
          <w:b/>
          <w:sz w:val="32"/>
          <w:szCs w:val="32"/>
        </w:rPr>
        <w:t>第四部分</w:t>
      </w:r>
      <w:r>
        <w:rPr>
          <w:rFonts w:hint="eastAsia" w:ascii="仿宋" w:hAnsi="仿宋" w:eastAsia="仿宋" w:cs="仿宋"/>
          <w:b/>
          <w:sz w:val="32"/>
          <w:szCs w:val="32"/>
        </w:rPr>
        <w:tab/>
      </w:r>
      <w:r>
        <w:rPr>
          <w:rFonts w:hint="eastAsia" w:ascii="仿宋" w:hAnsi="仿宋" w:eastAsia="仿宋" w:cs="仿宋"/>
          <w:spacing w:val="-12"/>
          <w:kern w:val="0"/>
          <w:sz w:val="32"/>
          <w:szCs w:val="32"/>
          <w:lang w:val="en-US" w:eastAsia="zh-CN" w:bidi="zh-CN"/>
        </w:rPr>
        <w:t>名词解释</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6"/>
        <w:keepNext w:val="0"/>
        <w:keepLines w:val="0"/>
        <w:pageBreakBefore w:val="0"/>
        <w:widowControl w:val="0"/>
        <w:tabs>
          <w:tab w:val="left" w:pos="1604"/>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第一部分</w:t>
      </w:r>
      <w:r>
        <w:rPr>
          <w:rFonts w:hint="eastAsia" w:ascii="仿宋" w:hAnsi="仿宋" w:eastAsia="仿宋" w:cs="仿宋"/>
          <w:sz w:val="32"/>
          <w:szCs w:val="32"/>
        </w:rPr>
        <w:tab/>
      </w:r>
      <w:r>
        <w:rPr>
          <w:rFonts w:hint="eastAsia" w:ascii="仿宋" w:hAnsi="仿宋" w:eastAsia="仿宋" w:cs="仿宋"/>
          <w:b/>
          <w:bCs/>
          <w:spacing w:val="-12"/>
          <w:kern w:val="0"/>
          <w:sz w:val="32"/>
          <w:szCs w:val="32"/>
          <w:lang w:val="en-US" w:eastAsia="zh-CN" w:bidi="zh-CN"/>
        </w:rPr>
        <w:t>红谷滩区政务服务数据管理局概况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sz w:val="32"/>
          <w:szCs w:val="32"/>
        </w:rPr>
      </w:pPr>
    </w:p>
    <w:p>
      <w:pPr>
        <w:pStyle w:val="7"/>
        <w:rPr>
          <w:rFonts w:hint="eastAsia" w:ascii="黑体" w:hAnsi="黑体" w:eastAsia="黑体" w:cs="黑体"/>
          <w:spacing w:val="-12"/>
          <w:kern w:val="0"/>
          <w:sz w:val="32"/>
          <w:szCs w:val="32"/>
          <w:lang w:val="en-US" w:eastAsia="zh-CN" w:bidi="zh-CN"/>
        </w:rPr>
      </w:pPr>
      <w:r>
        <w:rPr>
          <w:rFonts w:hint="eastAsia" w:ascii="黑体" w:hAnsi="黑体" w:eastAsia="黑体" w:cs="黑体"/>
          <w:spacing w:val="-12"/>
          <w:kern w:val="0"/>
          <w:sz w:val="32"/>
          <w:szCs w:val="32"/>
          <w:lang w:val="en-US" w:eastAsia="zh-CN" w:bidi="zh-CN"/>
        </w:rPr>
        <w:t>一、部门主要职责</w:t>
      </w:r>
    </w:p>
    <w:p>
      <w:pPr>
        <w:pStyle w:val="7"/>
        <w:ind w:firstLine="592" w:firstLineChars="200"/>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区政务服务数据管理局贯彻落实党中央及省委、市委关于政务服务、电子政务、数据管理工作的方针政策和决策部署,按照区委工作要求,在履行职责过程中坚持和加强党对政务服务、电子政务、数据管理工作的集中统一领导。主要职责是:</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val="en-US" w:eastAsia="zh-CN" w:bidi="zh-CN"/>
        </w:rPr>
        <w:t>(一)贯彻执行国家、省、市关于政务服务、电子政务、政务数据管理、信息安全等方面的</w:t>
      </w:r>
      <w:r>
        <w:rPr>
          <w:rFonts w:hint="eastAsia" w:ascii="仿宋" w:hAnsi="仿宋" w:eastAsia="仿宋" w:cs="仿宋"/>
          <w:spacing w:val="-12"/>
          <w:kern w:val="0"/>
          <w:sz w:val="32"/>
          <w:szCs w:val="32"/>
          <w:lang w:eastAsia="zh-CN" w:bidi="zh-CN"/>
        </w:rPr>
        <w:t>法律、法规和政策。</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(二)负责统筹推进“智慧城市"和“数字政府"建设,拟订有关发展规划、年度计划并组织实施。</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三)负责统筹推进电子政务建设。负责电子政务外网(含政务办公网和政务服务网)、政务云平台、公共支撑平台、通用应用系统的建设、管理、应用和安全保障工作,统筹协调各部门业务应用系统建设,指导乡镇(街道、管理处)电子政务建设。</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(四)负责政务数据管理。拟订政务数据体系规划并组织实施,建设、管理基础信息资源库,统筹政务数据的归集、管理、分析和应用工作,推进政务数据资源共享和开放。</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(五)负责对电子政务项目建设实施集约化管理和监督指导;协助开展电子政务项目的立项审批和验收监督。</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(六)负责推进信息安全管理。推进信息安全保障体系建设, 组织实施信息安全防护、应急管理和处置。统筹电子政务安全管理工作,指导监督各部门电子政务安全工作。</w:t>
      </w:r>
    </w:p>
    <w:p>
      <w:pPr>
        <w:keepNext w:val="0"/>
        <w:keepLines w:val="0"/>
        <w:pageBreakBefore w:val="0"/>
        <w:kinsoku/>
        <w:wordWrap/>
        <w:overflowPunct/>
        <w:topLinePunct w:val="0"/>
        <w:autoSpaceDE/>
        <w:autoSpaceDN/>
        <w:bidi w:val="0"/>
        <w:adjustRightInd/>
        <w:snapToGrid/>
        <w:spacing w:beforeAutospacing="0" w:afterAutospacing="0" w:line="440" w:lineRule="exact"/>
        <w:ind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(七)负责牵头推进行政审批制度改革;负责审批服务便民化相关工作,按规定负责政务服务事项管理,推进政务服务事项目录管理、标准化建设及流程优化等工作。</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(八)统筹政务服务体系建设,推动政务服务一体化和改革创新;负责政务大厅的建设、运行管理和进驻单位及人员的日常管理考核;负责网上办事大厅的建设和运行管理;负责指导乡镇 (街道、管理处)各部门开展政务服务工作。</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(九)负责统筹政府网站工作,负责区政府门户网站建设, 指导协调全区政府网站建设和管理。</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(十)负责政务服务、电子政务、政务数据管理和信息安全标准体系建设、效能监督和考核工作。负责推进政务服务、电子政务、政务数据管理和信息安全标准化工作。</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pacing w:val="-12"/>
          <w:kern w:val="0"/>
          <w:sz w:val="32"/>
          <w:szCs w:val="32"/>
          <w:lang w:eastAsia="zh-CN" w:bidi="zh-CN"/>
        </w:rPr>
      </w:pPr>
      <w:r>
        <w:rPr>
          <w:rFonts w:hint="eastAsia" w:ascii="仿宋" w:hAnsi="仿宋" w:eastAsia="仿宋" w:cs="仿宋"/>
          <w:spacing w:val="-12"/>
          <w:kern w:val="0"/>
          <w:sz w:val="32"/>
          <w:szCs w:val="32"/>
          <w:lang w:eastAsia="zh-CN" w:bidi="zh-CN"/>
        </w:rPr>
        <w:t>(十一)完成区委、区政府和上级部门交办的其他任务。</w:t>
      </w:r>
    </w:p>
    <w:p>
      <w:pPr>
        <w:keepNext w:val="0"/>
        <w:keepLines w:val="0"/>
        <w:pageBreakBefore w:val="0"/>
        <w:kinsoku/>
        <w:wordWrap/>
        <w:overflowPunct/>
        <w:topLinePunct w:val="0"/>
        <w:autoSpaceDE/>
        <w:autoSpaceDN/>
        <w:bidi w:val="0"/>
        <w:adjustRightInd/>
        <w:snapToGrid/>
        <w:spacing w:beforeAutospacing="0" w:afterAutospacing="0" w:line="440" w:lineRule="exact"/>
        <w:ind w:left="0" w:leftChars="0" w:right="0" w:rightChars="0" w:firstLine="592" w:firstLineChars="200"/>
        <w:textAlignment w:val="auto"/>
        <w:outlineLvl w:val="9"/>
        <w:rPr>
          <w:rFonts w:hint="eastAsia" w:ascii="仿宋" w:hAnsi="仿宋" w:eastAsia="仿宋" w:cs="仿宋"/>
          <w:sz w:val="32"/>
          <w:szCs w:val="32"/>
        </w:rPr>
      </w:pPr>
      <w:r>
        <w:rPr>
          <w:rFonts w:hint="eastAsia" w:ascii="仿宋" w:hAnsi="仿宋" w:eastAsia="仿宋" w:cs="仿宋"/>
          <w:spacing w:val="-12"/>
          <w:kern w:val="0"/>
          <w:sz w:val="32"/>
          <w:szCs w:val="32"/>
          <w:lang w:eastAsia="zh-CN" w:bidi="zh-CN"/>
        </w:rPr>
        <w:t>(十二)与区发展和改革委员会有关职责分工。区发展和改革委员会负责电子政务项目立项审批工作。区政务服务数据管理局负责协助开展电子政务项目的立项审批和验收监督。</w:t>
      </w:r>
    </w:p>
    <w:p>
      <w:pPr>
        <w:pStyle w:val="7"/>
        <w:rPr>
          <w:rFonts w:hint="eastAsia" w:ascii="黑体" w:hAnsi="黑体" w:eastAsia="黑体" w:cs="黑体"/>
          <w:spacing w:val="-12"/>
          <w:kern w:val="0"/>
          <w:sz w:val="32"/>
          <w:szCs w:val="32"/>
          <w:lang w:val="en-US" w:eastAsia="zh-CN" w:bidi="zh-CN"/>
        </w:rPr>
      </w:pPr>
      <w:r>
        <w:rPr>
          <w:rFonts w:hint="eastAsia" w:ascii="黑体" w:hAnsi="黑体" w:eastAsia="黑体" w:cs="黑体"/>
          <w:spacing w:val="-12"/>
          <w:kern w:val="0"/>
          <w:sz w:val="32"/>
          <w:szCs w:val="32"/>
          <w:lang w:val="en-US" w:eastAsia="zh-CN" w:bidi="zh-CN"/>
        </w:rPr>
        <w:t>二、部门基本情况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en-US" w:eastAsia="zh-CN" w:bidi="zh-CN"/>
        </w:rPr>
        <w:t>红谷滩区政务服务数据管理局</w:t>
      </w:r>
      <w:r>
        <w:rPr>
          <w:rFonts w:hint="eastAsia" w:ascii="仿宋" w:hAnsi="仿宋" w:eastAsia="仿宋" w:cs="仿宋"/>
          <w:spacing w:val="-12"/>
          <w:kern w:val="0"/>
          <w:sz w:val="32"/>
          <w:szCs w:val="32"/>
          <w:lang w:val="zh-CN" w:eastAsia="zh-CN" w:bidi="zh-CN"/>
        </w:rPr>
        <w:t>共有预算单位</w:t>
      </w:r>
      <w:r>
        <w:rPr>
          <w:rFonts w:hint="eastAsia" w:ascii="仿宋" w:hAnsi="仿宋" w:eastAsia="仿宋" w:cs="仿宋"/>
          <w:spacing w:val="-12"/>
          <w:kern w:val="0"/>
          <w:sz w:val="32"/>
          <w:szCs w:val="32"/>
          <w:lang w:val="en-US" w:eastAsia="zh-CN" w:bidi="zh-CN"/>
        </w:rPr>
        <w:t>1</w:t>
      </w:r>
      <w:r>
        <w:rPr>
          <w:rFonts w:hint="eastAsia" w:ascii="仿宋" w:hAnsi="仿宋" w:eastAsia="仿宋" w:cs="仿宋"/>
          <w:spacing w:val="-12"/>
          <w:kern w:val="0"/>
          <w:sz w:val="32"/>
          <w:szCs w:val="32"/>
          <w:lang w:val="zh-CN" w:eastAsia="zh-CN" w:bidi="zh-CN"/>
        </w:rPr>
        <w:t>个，包括</w:t>
      </w:r>
      <w:r>
        <w:rPr>
          <w:rFonts w:hint="eastAsia" w:ascii="仿宋" w:hAnsi="仿宋" w:eastAsia="仿宋" w:cs="仿宋"/>
          <w:spacing w:val="-12"/>
          <w:kern w:val="0"/>
          <w:sz w:val="32"/>
          <w:szCs w:val="32"/>
          <w:lang w:val="en-US" w:eastAsia="zh-CN" w:bidi="zh-CN"/>
        </w:rPr>
        <w:t>局</w:t>
      </w:r>
      <w:r>
        <w:rPr>
          <w:rFonts w:hint="eastAsia" w:ascii="仿宋" w:hAnsi="仿宋" w:eastAsia="仿宋" w:cs="仿宋"/>
          <w:spacing w:val="-12"/>
          <w:kern w:val="0"/>
          <w:sz w:val="32"/>
          <w:szCs w:val="32"/>
          <w:lang w:val="zh-CN" w:eastAsia="zh-CN" w:bidi="zh-CN"/>
        </w:rPr>
        <w:t>本级预算单位，其中，行政机关</w:t>
      </w:r>
      <w:r>
        <w:rPr>
          <w:rFonts w:hint="eastAsia" w:ascii="仿宋" w:hAnsi="仿宋" w:eastAsia="仿宋" w:cs="仿宋"/>
          <w:spacing w:val="-12"/>
          <w:kern w:val="0"/>
          <w:sz w:val="32"/>
          <w:szCs w:val="32"/>
          <w:lang w:val="en-US" w:eastAsia="zh-CN" w:bidi="zh-CN"/>
        </w:rPr>
        <w:t>1</w:t>
      </w:r>
      <w:r>
        <w:rPr>
          <w:rFonts w:hint="eastAsia" w:ascii="仿宋" w:hAnsi="仿宋" w:eastAsia="仿宋" w:cs="仿宋"/>
          <w:spacing w:val="-12"/>
          <w:kern w:val="0"/>
          <w:sz w:val="32"/>
          <w:szCs w:val="32"/>
          <w:lang w:val="zh-CN" w:eastAsia="zh-CN" w:bidi="zh-CN"/>
        </w:rPr>
        <w:t>个：</w:t>
      </w:r>
      <w:r>
        <w:rPr>
          <w:rFonts w:hint="eastAsia" w:ascii="仿宋" w:hAnsi="仿宋" w:eastAsia="仿宋" w:cs="仿宋"/>
          <w:spacing w:val="-12"/>
          <w:kern w:val="0"/>
          <w:sz w:val="32"/>
          <w:szCs w:val="32"/>
          <w:lang w:val="en-US" w:eastAsia="zh-CN" w:bidi="zh-CN"/>
        </w:rPr>
        <w:t>红谷滩区政务服务数据管理局</w:t>
      </w:r>
      <w:r>
        <w:rPr>
          <w:rFonts w:hint="eastAsia" w:ascii="仿宋" w:hAnsi="仿宋" w:eastAsia="仿宋" w:cs="仿宋"/>
          <w:spacing w:val="-12"/>
          <w:kern w:val="0"/>
          <w:sz w:val="32"/>
          <w:szCs w:val="32"/>
          <w:lang w:val="zh-CN" w:eastAsia="zh-CN" w:bidi="zh-CN"/>
        </w:rPr>
        <w:t>；编制人数</w:t>
      </w:r>
      <w:r>
        <w:rPr>
          <w:rFonts w:hint="eastAsia" w:ascii="仿宋" w:hAnsi="仿宋" w:eastAsia="仿宋" w:cs="仿宋"/>
          <w:spacing w:val="-12"/>
          <w:kern w:val="0"/>
          <w:sz w:val="32"/>
          <w:szCs w:val="32"/>
          <w:lang w:val="en-US" w:eastAsia="zh-CN" w:bidi="zh-CN"/>
        </w:rPr>
        <w:t>15</w:t>
      </w:r>
      <w:r>
        <w:rPr>
          <w:rFonts w:hint="eastAsia" w:ascii="仿宋" w:hAnsi="仿宋" w:eastAsia="仿宋" w:cs="仿宋"/>
          <w:spacing w:val="-12"/>
          <w:kern w:val="0"/>
          <w:sz w:val="32"/>
          <w:szCs w:val="32"/>
          <w:lang w:val="zh-CN" w:eastAsia="zh-CN" w:bidi="zh-CN"/>
        </w:rPr>
        <w:t>人，其中；行政编制</w:t>
      </w:r>
      <w:r>
        <w:rPr>
          <w:rFonts w:hint="eastAsia" w:ascii="仿宋" w:hAnsi="仿宋" w:eastAsia="仿宋" w:cs="仿宋"/>
          <w:spacing w:val="-12"/>
          <w:kern w:val="0"/>
          <w:sz w:val="32"/>
          <w:szCs w:val="32"/>
          <w:lang w:val="en-US" w:eastAsia="zh-CN" w:bidi="zh-CN"/>
        </w:rPr>
        <w:t>6</w:t>
      </w:r>
      <w:r>
        <w:rPr>
          <w:rFonts w:hint="eastAsia" w:ascii="仿宋" w:hAnsi="仿宋" w:eastAsia="仿宋" w:cs="仿宋"/>
          <w:spacing w:val="-12"/>
          <w:kern w:val="0"/>
          <w:sz w:val="32"/>
          <w:szCs w:val="32"/>
          <w:lang w:val="zh-CN" w:eastAsia="zh-CN" w:bidi="zh-CN"/>
        </w:rPr>
        <w:t>人、全部补助事业编制</w:t>
      </w:r>
      <w:r>
        <w:rPr>
          <w:rFonts w:hint="eastAsia" w:ascii="仿宋" w:hAnsi="仿宋" w:eastAsia="仿宋" w:cs="仿宋"/>
          <w:spacing w:val="-12"/>
          <w:kern w:val="0"/>
          <w:sz w:val="32"/>
          <w:szCs w:val="32"/>
          <w:lang w:val="en-US" w:eastAsia="zh-CN" w:bidi="zh-CN"/>
        </w:rPr>
        <w:t>9</w:t>
      </w:r>
      <w:r>
        <w:rPr>
          <w:rFonts w:hint="eastAsia" w:ascii="仿宋" w:hAnsi="仿宋" w:eastAsia="仿宋" w:cs="仿宋"/>
          <w:spacing w:val="-12"/>
          <w:kern w:val="0"/>
          <w:sz w:val="32"/>
          <w:szCs w:val="32"/>
          <w:lang w:val="zh-CN" w:eastAsia="zh-CN" w:bidi="zh-CN"/>
        </w:rPr>
        <w:t>人、部分补助事业编制</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人、自收自支事业编制</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人；实有人数</w:t>
      </w:r>
      <w:r>
        <w:rPr>
          <w:rFonts w:hint="eastAsia" w:ascii="仿宋" w:hAnsi="仿宋" w:eastAsia="仿宋" w:cs="仿宋"/>
          <w:spacing w:val="-12"/>
          <w:kern w:val="0"/>
          <w:sz w:val="32"/>
          <w:szCs w:val="32"/>
          <w:lang w:val="en-US" w:eastAsia="zh-CN" w:bidi="zh-CN"/>
        </w:rPr>
        <w:t>14</w:t>
      </w:r>
      <w:r>
        <w:rPr>
          <w:rFonts w:hint="eastAsia" w:ascii="仿宋" w:hAnsi="仿宋" w:eastAsia="仿宋" w:cs="仿宋"/>
          <w:spacing w:val="-12"/>
          <w:kern w:val="0"/>
          <w:sz w:val="32"/>
          <w:szCs w:val="32"/>
          <w:lang w:val="zh-CN" w:eastAsia="zh-CN" w:bidi="zh-CN"/>
        </w:rPr>
        <w:t xml:space="preserve">人，其中：在职人数 </w:t>
      </w:r>
      <w:r>
        <w:rPr>
          <w:rFonts w:hint="eastAsia" w:ascii="仿宋" w:hAnsi="仿宋" w:eastAsia="仿宋" w:cs="仿宋"/>
          <w:spacing w:val="-12"/>
          <w:kern w:val="0"/>
          <w:sz w:val="32"/>
          <w:szCs w:val="32"/>
          <w:lang w:val="en-US" w:eastAsia="zh-CN" w:bidi="zh-CN"/>
        </w:rPr>
        <w:t>13</w:t>
      </w:r>
      <w:r>
        <w:rPr>
          <w:rFonts w:hint="eastAsia" w:ascii="仿宋" w:hAnsi="仿宋" w:eastAsia="仿宋" w:cs="仿宋"/>
          <w:spacing w:val="-12"/>
          <w:kern w:val="0"/>
          <w:sz w:val="32"/>
          <w:szCs w:val="32"/>
          <w:lang w:val="zh-CN" w:eastAsia="zh-CN" w:bidi="zh-CN"/>
        </w:rPr>
        <w:t>人，包括行政人员</w:t>
      </w:r>
      <w:r>
        <w:rPr>
          <w:rFonts w:hint="eastAsia" w:ascii="仿宋" w:hAnsi="仿宋" w:eastAsia="仿宋" w:cs="仿宋"/>
          <w:spacing w:val="-12"/>
          <w:kern w:val="0"/>
          <w:sz w:val="32"/>
          <w:szCs w:val="32"/>
          <w:lang w:val="en-US" w:eastAsia="zh-CN" w:bidi="zh-CN"/>
        </w:rPr>
        <w:t>4</w:t>
      </w:r>
      <w:r>
        <w:rPr>
          <w:rFonts w:hint="eastAsia" w:ascii="仿宋" w:hAnsi="仿宋" w:eastAsia="仿宋" w:cs="仿宋"/>
          <w:spacing w:val="-12"/>
          <w:kern w:val="0"/>
          <w:sz w:val="32"/>
          <w:szCs w:val="32"/>
          <w:lang w:val="zh-CN" w:eastAsia="zh-CN" w:bidi="zh-CN"/>
        </w:rPr>
        <w:t>人、全部补助事业人员</w:t>
      </w:r>
      <w:r>
        <w:rPr>
          <w:rFonts w:hint="eastAsia" w:ascii="仿宋" w:hAnsi="仿宋" w:eastAsia="仿宋" w:cs="仿宋"/>
          <w:spacing w:val="-12"/>
          <w:kern w:val="0"/>
          <w:sz w:val="32"/>
          <w:szCs w:val="32"/>
          <w:lang w:val="en-US" w:eastAsia="zh-CN" w:bidi="zh-CN"/>
        </w:rPr>
        <w:t>9</w:t>
      </w:r>
      <w:r>
        <w:rPr>
          <w:rFonts w:hint="eastAsia" w:ascii="仿宋" w:hAnsi="仿宋" w:eastAsia="仿宋" w:cs="仿宋"/>
          <w:spacing w:val="-12"/>
          <w:kern w:val="0"/>
          <w:sz w:val="32"/>
          <w:szCs w:val="32"/>
          <w:lang w:val="zh-CN" w:eastAsia="zh-CN" w:bidi="zh-CN"/>
        </w:rPr>
        <w:t xml:space="preserve">人、部分补助事业人员 </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人、自收自支事业人员</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人；离休人员</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人；退休人员</w:t>
      </w:r>
      <w:r>
        <w:rPr>
          <w:rFonts w:hint="eastAsia" w:ascii="仿宋" w:hAnsi="仿宋" w:eastAsia="仿宋" w:cs="仿宋"/>
          <w:spacing w:val="-12"/>
          <w:kern w:val="0"/>
          <w:sz w:val="32"/>
          <w:szCs w:val="32"/>
          <w:lang w:val="en-US" w:eastAsia="zh-CN" w:bidi="zh-CN"/>
        </w:rPr>
        <w:t>1</w:t>
      </w:r>
      <w:r>
        <w:rPr>
          <w:rFonts w:hint="eastAsia" w:ascii="仿宋" w:hAnsi="仿宋" w:eastAsia="仿宋" w:cs="仿宋"/>
          <w:spacing w:val="-12"/>
          <w:kern w:val="0"/>
          <w:sz w:val="32"/>
          <w:szCs w:val="32"/>
          <w:lang w:val="zh-CN" w:eastAsia="zh-CN" w:bidi="zh-CN"/>
        </w:rPr>
        <w:t xml:space="preserve">人。在校学生 </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人，其中：高等学校</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人、中等专业学校</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人，其他</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人。</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rPr>
      </w:pPr>
    </w:p>
    <w:p>
      <w:pPr>
        <w:pStyle w:val="6"/>
        <w:keepNext w:val="0"/>
        <w:keepLines w:val="0"/>
        <w:pageBreakBefore w:val="0"/>
        <w:widowControl w:val="0"/>
        <w:numPr>
          <w:ilvl w:val="0"/>
          <w:numId w:val="1"/>
        </w:numPr>
        <w:tabs>
          <w:tab w:val="left" w:pos="179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rPr>
          <w:rFonts w:hint="eastAsia" w:ascii="仿宋" w:hAnsi="仿宋" w:eastAsia="仿宋" w:cs="仿宋"/>
          <w:snapToGrid w:val="0"/>
          <w:spacing w:val="0"/>
          <w:sz w:val="32"/>
          <w:szCs w:val="32"/>
          <w:lang w:val="en-US" w:eastAsia="zh-CN"/>
        </w:rPr>
        <w:t>红谷滩区政务服务数据管理局</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年部门预算</w:t>
      </w:r>
    </w:p>
    <w:p>
      <w:pPr>
        <w:pStyle w:val="6"/>
        <w:keepNext w:val="0"/>
        <w:keepLines w:val="0"/>
        <w:pageBreakBefore w:val="0"/>
        <w:widowControl w:val="0"/>
        <w:numPr>
          <w:ilvl w:val="0"/>
          <w:numId w:val="0"/>
        </w:numPr>
        <w:tabs>
          <w:tab w:val="left" w:pos="1795"/>
        </w:tabs>
        <w:kinsoku/>
        <w:wordWrap/>
        <w:overflowPunct/>
        <w:topLinePunct w:val="0"/>
        <w:autoSpaceDE w:val="0"/>
        <w:autoSpaceDN w:val="0"/>
        <w:bidi w:val="0"/>
        <w:adjustRightInd/>
        <w:snapToGrid/>
        <w:spacing w:before="0" w:after="0" w:line="560" w:lineRule="exact"/>
        <w:ind w:right="0" w:rightChars="0"/>
        <w:jc w:val="center"/>
        <w:textAlignment w:val="auto"/>
        <w:rPr>
          <w:rFonts w:hint="eastAsia" w:ascii="仿宋" w:hAnsi="仿宋" w:eastAsia="仿宋" w:cs="仿宋"/>
          <w:sz w:val="32"/>
          <w:szCs w:val="32"/>
        </w:rPr>
      </w:pPr>
      <w:r>
        <w:rPr>
          <w:rFonts w:hint="eastAsia" w:ascii="仿宋" w:hAnsi="仿宋" w:eastAsia="仿宋" w:cs="仿宋"/>
          <w:sz w:val="32"/>
          <w:szCs w:val="32"/>
        </w:rPr>
        <w:t>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sz w:val="32"/>
          <w:szCs w:val="32"/>
        </w:rPr>
      </w:pPr>
    </w:p>
    <w:p>
      <w:pPr>
        <w:pStyle w:val="7"/>
        <w:rPr>
          <w:rFonts w:hint="eastAsia" w:ascii="黑体" w:hAnsi="黑体" w:eastAsia="黑体" w:cs="黑体"/>
          <w:spacing w:val="-12"/>
          <w:kern w:val="0"/>
          <w:sz w:val="32"/>
          <w:szCs w:val="32"/>
          <w:lang w:val="en-US" w:eastAsia="zh-CN" w:bidi="zh-CN"/>
        </w:rPr>
      </w:pPr>
      <w:r>
        <w:rPr>
          <w:rFonts w:hint="eastAsia" w:ascii="黑体" w:hAnsi="黑体" w:eastAsia="黑体" w:cs="黑体"/>
          <w:spacing w:val="-12"/>
          <w:kern w:val="0"/>
          <w:sz w:val="32"/>
          <w:szCs w:val="32"/>
          <w:lang w:val="en-US" w:eastAsia="zh-CN" w:bidi="zh-CN"/>
        </w:rPr>
        <w:t>一、2023年部门预算收支情况说明</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（一）收入预算情况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年红谷滩区政务服务数据管理局收入预算总额为</w:t>
      </w:r>
      <w:r>
        <w:rPr>
          <w:rFonts w:hint="eastAsia" w:ascii="仿宋" w:hAnsi="仿宋" w:eastAsia="仿宋" w:cs="仿宋"/>
          <w:spacing w:val="-12"/>
          <w:kern w:val="0"/>
          <w:sz w:val="32"/>
          <w:szCs w:val="32"/>
          <w:lang w:val="en-US" w:eastAsia="zh-CN" w:bidi="zh-CN"/>
        </w:rPr>
        <w:t>3338.57</w:t>
      </w:r>
      <w:r>
        <w:rPr>
          <w:rFonts w:hint="eastAsia" w:ascii="仿宋" w:hAnsi="仿宋" w:eastAsia="仿宋" w:cs="仿宋"/>
          <w:spacing w:val="-12"/>
          <w:kern w:val="0"/>
          <w:sz w:val="32"/>
          <w:szCs w:val="32"/>
          <w:lang w:val="zh-CN" w:eastAsia="zh-CN" w:bidi="zh-CN"/>
        </w:rPr>
        <w:t>万元， 比上年增加</w:t>
      </w:r>
      <w:r>
        <w:rPr>
          <w:rFonts w:hint="eastAsia" w:ascii="仿宋" w:hAnsi="仿宋" w:eastAsia="仿宋" w:cs="仿宋"/>
          <w:spacing w:val="-12"/>
          <w:kern w:val="0"/>
          <w:sz w:val="32"/>
          <w:szCs w:val="32"/>
          <w:lang w:val="en-US" w:eastAsia="zh-CN" w:bidi="zh-CN"/>
        </w:rPr>
        <w:t>616.17</w:t>
      </w:r>
      <w:r>
        <w:rPr>
          <w:rFonts w:hint="eastAsia" w:ascii="仿宋" w:hAnsi="仿宋" w:eastAsia="仿宋" w:cs="仿宋"/>
          <w:spacing w:val="-12"/>
          <w:kern w:val="0"/>
          <w:sz w:val="32"/>
          <w:szCs w:val="32"/>
          <w:lang w:val="zh-CN" w:eastAsia="zh-CN" w:bidi="zh-CN"/>
        </w:rPr>
        <w:t>万元，增长</w:t>
      </w:r>
      <w:r>
        <w:rPr>
          <w:rFonts w:hint="eastAsia" w:ascii="仿宋" w:hAnsi="仿宋" w:eastAsia="仿宋" w:cs="仿宋"/>
          <w:spacing w:val="-12"/>
          <w:kern w:val="0"/>
          <w:sz w:val="32"/>
          <w:szCs w:val="32"/>
          <w:lang w:val="en-US" w:eastAsia="zh-CN" w:bidi="zh-CN"/>
        </w:rPr>
        <w:t>27.12%</w:t>
      </w:r>
      <w:r>
        <w:rPr>
          <w:rFonts w:hint="eastAsia" w:ascii="仿宋" w:hAnsi="仿宋" w:eastAsia="仿宋" w:cs="仿宋"/>
          <w:spacing w:val="-12"/>
          <w:kern w:val="0"/>
          <w:sz w:val="32"/>
          <w:szCs w:val="32"/>
          <w:lang w:val="zh-CN" w:eastAsia="zh-CN" w:bidi="zh-CN"/>
        </w:rPr>
        <w:t xml:space="preserve">。其中：财政拨款收入 </w:t>
      </w:r>
      <w:r>
        <w:rPr>
          <w:rFonts w:hint="eastAsia" w:ascii="仿宋" w:hAnsi="仿宋" w:eastAsia="仿宋" w:cs="仿宋"/>
          <w:spacing w:val="-12"/>
          <w:kern w:val="0"/>
          <w:sz w:val="32"/>
          <w:szCs w:val="32"/>
          <w:lang w:val="en-US" w:eastAsia="zh-CN" w:bidi="zh-CN"/>
        </w:rPr>
        <w:t>3338.57</w:t>
      </w:r>
      <w:r>
        <w:rPr>
          <w:rFonts w:hint="eastAsia" w:ascii="仿宋" w:hAnsi="仿宋" w:eastAsia="仿宋" w:cs="仿宋"/>
          <w:spacing w:val="-12"/>
          <w:kern w:val="0"/>
          <w:sz w:val="32"/>
          <w:szCs w:val="32"/>
          <w:lang w:val="zh-CN" w:eastAsia="zh-CN" w:bidi="zh-CN"/>
        </w:rPr>
        <w:t>万元。</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（二）支出预算情况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年红谷滩区政务服务数据管理局支出预算总额为</w:t>
      </w:r>
      <w:r>
        <w:rPr>
          <w:rFonts w:hint="eastAsia" w:ascii="仿宋" w:hAnsi="仿宋" w:eastAsia="仿宋" w:cs="仿宋"/>
          <w:spacing w:val="-12"/>
          <w:kern w:val="0"/>
          <w:sz w:val="32"/>
          <w:szCs w:val="32"/>
          <w:lang w:val="en-US" w:eastAsia="zh-CN" w:bidi="zh-CN"/>
        </w:rPr>
        <w:t>3338.57</w:t>
      </w:r>
      <w:r>
        <w:rPr>
          <w:rFonts w:hint="eastAsia" w:ascii="仿宋" w:hAnsi="仿宋" w:eastAsia="仿宋" w:cs="仿宋"/>
          <w:spacing w:val="-12"/>
          <w:kern w:val="0"/>
          <w:sz w:val="32"/>
          <w:szCs w:val="32"/>
          <w:lang w:val="zh-CN" w:eastAsia="zh-CN" w:bidi="zh-CN"/>
        </w:rPr>
        <w:t>万元，比上年增加</w:t>
      </w:r>
      <w:r>
        <w:rPr>
          <w:rFonts w:hint="eastAsia" w:ascii="仿宋" w:hAnsi="仿宋" w:eastAsia="仿宋" w:cs="仿宋"/>
          <w:spacing w:val="-12"/>
          <w:kern w:val="0"/>
          <w:sz w:val="32"/>
          <w:szCs w:val="32"/>
          <w:lang w:val="en-US" w:eastAsia="zh-CN" w:bidi="zh-CN"/>
        </w:rPr>
        <w:t>616.17</w:t>
      </w:r>
      <w:r>
        <w:rPr>
          <w:rFonts w:hint="eastAsia" w:ascii="仿宋" w:hAnsi="仿宋" w:eastAsia="仿宋" w:cs="仿宋"/>
          <w:spacing w:val="-12"/>
          <w:kern w:val="0"/>
          <w:sz w:val="32"/>
          <w:szCs w:val="32"/>
          <w:lang w:val="zh-CN" w:eastAsia="zh-CN" w:bidi="zh-CN"/>
        </w:rPr>
        <w:t>万元，增长</w:t>
      </w:r>
      <w:r>
        <w:rPr>
          <w:rFonts w:hint="eastAsia" w:ascii="仿宋" w:hAnsi="仿宋" w:eastAsia="仿宋" w:cs="仿宋"/>
          <w:spacing w:val="-12"/>
          <w:kern w:val="0"/>
          <w:sz w:val="32"/>
          <w:szCs w:val="32"/>
          <w:lang w:val="en-US" w:eastAsia="zh-CN" w:bidi="zh-CN"/>
        </w:rPr>
        <w:t>27.12%</w:t>
      </w:r>
      <w:r>
        <w:rPr>
          <w:rFonts w:hint="eastAsia" w:ascii="仿宋" w:hAnsi="仿宋" w:eastAsia="仿宋" w:cs="仿宋"/>
          <w:spacing w:val="-12"/>
          <w:kern w:val="0"/>
          <w:sz w:val="32"/>
          <w:szCs w:val="32"/>
          <w:lang w:val="zh-CN" w:eastAsia="zh-CN" w:bidi="zh-CN"/>
        </w:rPr>
        <w:t>。</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其中：按支出项目类别划分：基本支出</w:t>
      </w:r>
      <w:r>
        <w:rPr>
          <w:rFonts w:hint="eastAsia" w:ascii="仿宋" w:hAnsi="仿宋" w:eastAsia="仿宋" w:cs="仿宋"/>
          <w:spacing w:val="-12"/>
          <w:kern w:val="0"/>
          <w:sz w:val="32"/>
          <w:szCs w:val="32"/>
          <w:lang w:val="en-US" w:eastAsia="zh-CN" w:bidi="zh-CN"/>
        </w:rPr>
        <w:t>447.38</w:t>
      </w:r>
      <w:r>
        <w:rPr>
          <w:rFonts w:hint="eastAsia" w:ascii="仿宋" w:hAnsi="仿宋" w:eastAsia="仿宋" w:cs="仿宋"/>
          <w:spacing w:val="-12"/>
          <w:kern w:val="0"/>
          <w:sz w:val="32"/>
          <w:szCs w:val="32"/>
          <w:lang w:val="zh-CN" w:eastAsia="zh-CN" w:bidi="zh-CN"/>
        </w:rPr>
        <w:t>万元，包括工资福利支出</w:t>
      </w:r>
      <w:r>
        <w:rPr>
          <w:rFonts w:hint="eastAsia" w:ascii="仿宋" w:hAnsi="仿宋" w:eastAsia="仿宋" w:cs="仿宋"/>
          <w:spacing w:val="-12"/>
          <w:kern w:val="0"/>
          <w:sz w:val="32"/>
          <w:szCs w:val="32"/>
          <w:lang w:val="en-US" w:eastAsia="zh-CN" w:bidi="zh-CN"/>
        </w:rPr>
        <w:t>310.58</w:t>
      </w:r>
      <w:r>
        <w:rPr>
          <w:rFonts w:hint="eastAsia" w:ascii="仿宋" w:hAnsi="仿宋" w:eastAsia="仿宋" w:cs="仿宋"/>
          <w:spacing w:val="-12"/>
          <w:kern w:val="0"/>
          <w:sz w:val="32"/>
          <w:szCs w:val="32"/>
          <w:lang w:val="zh-CN" w:eastAsia="zh-CN" w:bidi="zh-CN"/>
        </w:rPr>
        <w:t>万元、日常公用支出</w:t>
      </w:r>
      <w:r>
        <w:rPr>
          <w:rFonts w:hint="eastAsia" w:ascii="仿宋" w:hAnsi="仿宋" w:eastAsia="仿宋" w:cs="仿宋"/>
          <w:spacing w:val="-12"/>
          <w:kern w:val="0"/>
          <w:sz w:val="32"/>
          <w:szCs w:val="32"/>
          <w:lang w:val="en-US" w:eastAsia="zh-CN" w:bidi="zh-CN"/>
        </w:rPr>
        <w:t>131.95</w:t>
      </w:r>
      <w:r>
        <w:rPr>
          <w:rFonts w:hint="eastAsia" w:ascii="仿宋" w:hAnsi="仿宋" w:eastAsia="仿宋" w:cs="仿宋"/>
          <w:spacing w:val="-12"/>
          <w:kern w:val="0"/>
          <w:sz w:val="32"/>
          <w:szCs w:val="32"/>
          <w:lang w:val="zh-CN" w:eastAsia="zh-CN" w:bidi="zh-CN"/>
        </w:rPr>
        <w:t>万元、对个人和家庭的补助</w:t>
      </w:r>
      <w:r>
        <w:rPr>
          <w:rFonts w:hint="eastAsia" w:ascii="仿宋" w:hAnsi="仿宋" w:eastAsia="仿宋" w:cs="仿宋"/>
          <w:spacing w:val="-12"/>
          <w:kern w:val="0"/>
          <w:sz w:val="32"/>
          <w:szCs w:val="32"/>
          <w:lang w:val="en-US" w:eastAsia="zh-CN" w:bidi="zh-CN"/>
        </w:rPr>
        <w:t>4.85</w:t>
      </w:r>
      <w:r>
        <w:rPr>
          <w:rFonts w:hint="eastAsia" w:ascii="仿宋" w:hAnsi="仿宋" w:eastAsia="仿宋" w:cs="仿宋"/>
          <w:spacing w:val="-12"/>
          <w:kern w:val="0"/>
          <w:sz w:val="32"/>
          <w:szCs w:val="32"/>
          <w:lang w:val="zh-CN" w:eastAsia="zh-CN" w:bidi="zh-CN"/>
        </w:rPr>
        <w:t>万元；项目支出</w:t>
      </w:r>
      <w:r>
        <w:rPr>
          <w:rFonts w:hint="eastAsia" w:ascii="仿宋" w:hAnsi="仿宋" w:eastAsia="仿宋" w:cs="仿宋"/>
          <w:spacing w:val="-12"/>
          <w:kern w:val="0"/>
          <w:sz w:val="32"/>
          <w:szCs w:val="32"/>
          <w:lang w:val="en-US" w:eastAsia="zh-CN" w:bidi="zh-CN"/>
        </w:rPr>
        <w:t>2891.19</w:t>
      </w:r>
      <w:r>
        <w:rPr>
          <w:rFonts w:hint="eastAsia" w:ascii="仿宋" w:hAnsi="仿宋" w:eastAsia="仿宋" w:cs="仿宋"/>
          <w:spacing w:val="-12"/>
          <w:kern w:val="0"/>
          <w:sz w:val="32"/>
          <w:szCs w:val="32"/>
          <w:lang w:val="zh-CN" w:eastAsia="zh-CN" w:bidi="zh-CN"/>
        </w:rPr>
        <w:t>万元，包括工资福利支出</w:t>
      </w:r>
      <w:r>
        <w:rPr>
          <w:rFonts w:hint="eastAsia" w:ascii="仿宋" w:hAnsi="仿宋" w:eastAsia="仿宋" w:cs="仿宋"/>
          <w:spacing w:val="-12"/>
          <w:kern w:val="0"/>
          <w:sz w:val="32"/>
          <w:szCs w:val="32"/>
          <w:lang w:val="en-US" w:eastAsia="zh-CN" w:bidi="zh-CN"/>
        </w:rPr>
        <w:t>85</w:t>
      </w:r>
      <w:r>
        <w:rPr>
          <w:rFonts w:hint="eastAsia" w:ascii="仿宋" w:hAnsi="仿宋" w:eastAsia="仿宋" w:cs="仿宋"/>
          <w:spacing w:val="-12"/>
          <w:kern w:val="0"/>
          <w:sz w:val="32"/>
          <w:szCs w:val="32"/>
          <w:lang w:val="zh-CN" w:eastAsia="zh-CN" w:bidi="zh-CN"/>
        </w:rPr>
        <w:t>万元、</w:t>
      </w:r>
      <w:r>
        <w:rPr>
          <w:rFonts w:hint="eastAsia" w:ascii="仿宋" w:hAnsi="仿宋" w:eastAsia="仿宋" w:cs="仿宋"/>
          <w:spacing w:val="-12"/>
          <w:kern w:val="0"/>
          <w:sz w:val="32"/>
          <w:szCs w:val="32"/>
          <w:lang w:val="en-US" w:eastAsia="zh-CN" w:bidi="zh-CN"/>
        </w:rPr>
        <w:t>商品和服务支出2185.99万元</w:t>
      </w:r>
      <w:r>
        <w:rPr>
          <w:rFonts w:hint="eastAsia" w:ascii="仿宋" w:hAnsi="仿宋" w:eastAsia="仿宋" w:cs="仿宋"/>
          <w:spacing w:val="-12"/>
          <w:kern w:val="0"/>
          <w:sz w:val="32"/>
          <w:szCs w:val="32"/>
          <w:lang w:val="zh-CN" w:eastAsia="zh-CN" w:bidi="zh-CN"/>
        </w:rPr>
        <w:t>、</w:t>
      </w:r>
      <w:r>
        <w:rPr>
          <w:rFonts w:hint="eastAsia" w:ascii="仿宋" w:hAnsi="仿宋" w:eastAsia="仿宋" w:cs="仿宋"/>
          <w:spacing w:val="-12"/>
          <w:kern w:val="0"/>
          <w:sz w:val="32"/>
          <w:szCs w:val="32"/>
          <w:lang w:val="en-US" w:eastAsia="zh-CN" w:bidi="zh-CN"/>
        </w:rPr>
        <w:t>资本性</w:t>
      </w:r>
      <w:r>
        <w:rPr>
          <w:rFonts w:hint="eastAsia" w:ascii="仿宋" w:hAnsi="仿宋" w:eastAsia="仿宋" w:cs="仿宋"/>
          <w:spacing w:val="-12"/>
          <w:kern w:val="0"/>
          <w:sz w:val="32"/>
          <w:szCs w:val="32"/>
          <w:lang w:val="zh-CN" w:eastAsia="zh-CN" w:bidi="zh-CN"/>
        </w:rPr>
        <w:t>支出</w:t>
      </w:r>
      <w:r>
        <w:rPr>
          <w:rFonts w:hint="eastAsia" w:ascii="仿宋" w:hAnsi="仿宋" w:eastAsia="仿宋" w:cs="仿宋"/>
          <w:spacing w:val="-12"/>
          <w:kern w:val="0"/>
          <w:sz w:val="32"/>
          <w:szCs w:val="32"/>
          <w:lang w:val="en-US" w:eastAsia="zh-CN" w:bidi="zh-CN"/>
        </w:rPr>
        <w:t>620.2</w:t>
      </w:r>
      <w:r>
        <w:rPr>
          <w:rFonts w:hint="eastAsia" w:ascii="仿宋" w:hAnsi="仿宋" w:eastAsia="仿宋" w:cs="仿宋"/>
          <w:spacing w:val="-12"/>
          <w:kern w:val="0"/>
          <w:sz w:val="32"/>
          <w:szCs w:val="32"/>
          <w:lang w:val="zh-CN" w:eastAsia="zh-CN" w:bidi="zh-CN"/>
        </w:rPr>
        <w:t>万元；</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按支出功能科目划分：一般公共服务</w:t>
      </w:r>
      <w:r>
        <w:rPr>
          <w:rFonts w:hint="eastAsia" w:ascii="仿宋" w:hAnsi="仿宋" w:eastAsia="仿宋" w:cs="仿宋"/>
          <w:spacing w:val="-12"/>
          <w:kern w:val="0"/>
          <w:sz w:val="32"/>
          <w:szCs w:val="32"/>
          <w:lang w:val="en-US" w:eastAsia="zh-CN" w:bidi="zh-CN"/>
        </w:rPr>
        <w:t>3338.57</w:t>
      </w:r>
      <w:r>
        <w:rPr>
          <w:rFonts w:hint="eastAsia" w:ascii="仿宋" w:hAnsi="仿宋" w:eastAsia="仿宋" w:cs="仿宋"/>
          <w:spacing w:val="-12"/>
          <w:kern w:val="0"/>
          <w:sz w:val="32"/>
          <w:szCs w:val="32"/>
          <w:lang w:val="zh-CN" w:eastAsia="zh-CN" w:bidi="zh-CN"/>
        </w:rPr>
        <w:t>万元。</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按支出经济分类划分：工资福利支出</w:t>
      </w:r>
      <w:r>
        <w:rPr>
          <w:rFonts w:hint="eastAsia" w:ascii="仿宋" w:hAnsi="仿宋" w:eastAsia="仿宋" w:cs="仿宋"/>
          <w:spacing w:val="-12"/>
          <w:kern w:val="0"/>
          <w:sz w:val="32"/>
          <w:szCs w:val="32"/>
          <w:lang w:val="en-US" w:eastAsia="zh-CN" w:bidi="zh-CN"/>
        </w:rPr>
        <w:t>395.58</w:t>
      </w:r>
      <w:r>
        <w:rPr>
          <w:rFonts w:hint="eastAsia" w:ascii="仿宋" w:hAnsi="仿宋" w:eastAsia="仿宋" w:cs="仿宋"/>
          <w:spacing w:val="-12"/>
          <w:kern w:val="0"/>
          <w:sz w:val="32"/>
          <w:szCs w:val="32"/>
          <w:lang w:val="zh-CN" w:eastAsia="zh-CN" w:bidi="zh-CN"/>
        </w:rPr>
        <w:t>万元，占支出预算总额的</w:t>
      </w:r>
      <w:r>
        <w:rPr>
          <w:rFonts w:hint="eastAsia" w:ascii="仿宋" w:hAnsi="仿宋" w:eastAsia="仿宋" w:cs="仿宋"/>
          <w:spacing w:val="-12"/>
          <w:kern w:val="0"/>
          <w:sz w:val="32"/>
          <w:szCs w:val="32"/>
          <w:lang w:val="en-US" w:eastAsia="zh-CN" w:bidi="zh-CN"/>
        </w:rPr>
        <w:t>11.85%</w:t>
      </w:r>
      <w:r>
        <w:rPr>
          <w:rFonts w:hint="eastAsia" w:ascii="仿宋" w:hAnsi="仿宋" w:eastAsia="仿宋" w:cs="仿宋"/>
          <w:spacing w:val="-12"/>
          <w:kern w:val="0"/>
          <w:sz w:val="32"/>
          <w:szCs w:val="32"/>
          <w:lang w:val="zh-CN" w:eastAsia="zh-CN" w:bidi="zh-CN"/>
        </w:rPr>
        <w:t>；</w:t>
      </w:r>
      <w:r>
        <w:rPr>
          <w:rFonts w:hint="eastAsia" w:ascii="仿宋" w:hAnsi="仿宋" w:eastAsia="仿宋" w:cs="仿宋"/>
          <w:spacing w:val="-12"/>
          <w:kern w:val="0"/>
          <w:sz w:val="32"/>
          <w:szCs w:val="32"/>
          <w:lang w:val="en-US" w:eastAsia="zh-CN" w:bidi="zh-CN"/>
        </w:rPr>
        <w:t>对个人和家庭补助</w:t>
      </w:r>
      <w:r>
        <w:rPr>
          <w:rFonts w:hint="eastAsia" w:ascii="仿宋" w:hAnsi="仿宋" w:eastAsia="仿宋" w:cs="仿宋"/>
          <w:spacing w:val="-12"/>
          <w:kern w:val="0"/>
          <w:sz w:val="32"/>
          <w:szCs w:val="32"/>
          <w:lang w:val="zh-CN" w:eastAsia="zh-CN" w:bidi="zh-CN"/>
        </w:rPr>
        <w:t>支出</w:t>
      </w:r>
      <w:r>
        <w:rPr>
          <w:rFonts w:hint="eastAsia" w:ascii="仿宋" w:hAnsi="仿宋" w:eastAsia="仿宋" w:cs="仿宋"/>
          <w:spacing w:val="-12"/>
          <w:kern w:val="0"/>
          <w:sz w:val="32"/>
          <w:szCs w:val="32"/>
          <w:lang w:val="en-US" w:eastAsia="zh-CN" w:bidi="zh-CN"/>
        </w:rPr>
        <w:t>4.85</w:t>
      </w:r>
      <w:r>
        <w:rPr>
          <w:rFonts w:hint="eastAsia" w:ascii="仿宋" w:hAnsi="仿宋" w:eastAsia="仿宋" w:cs="仿宋"/>
          <w:spacing w:val="-12"/>
          <w:kern w:val="0"/>
          <w:sz w:val="32"/>
          <w:szCs w:val="32"/>
          <w:lang w:val="zh-CN" w:eastAsia="zh-CN" w:bidi="zh-CN"/>
        </w:rPr>
        <w:t>万元，占支出预算总额的</w:t>
      </w:r>
      <w:r>
        <w:rPr>
          <w:rFonts w:hint="eastAsia" w:ascii="仿宋" w:hAnsi="仿宋" w:eastAsia="仿宋" w:cs="仿宋"/>
          <w:spacing w:val="-12"/>
          <w:kern w:val="0"/>
          <w:sz w:val="32"/>
          <w:szCs w:val="32"/>
          <w:lang w:val="en-US" w:eastAsia="zh-CN" w:bidi="zh-CN"/>
        </w:rPr>
        <w:t>0.15%</w:t>
      </w:r>
      <w:r>
        <w:rPr>
          <w:rFonts w:hint="eastAsia" w:ascii="仿宋" w:hAnsi="仿宋" w:eastAsia="仿宋" w:cs="仿宋"/>
          <w:spacing w:val="-12"/>
          <w:kern w:val="0"/>
          <w:sz w:val="32"/>
          <w:szCs w:val="32"/>
          <w:lang w:val="zh-CN" w:eastAsia="zh-CN" w:bidi="zh-CN"/>
        </w:rPr>
        <w:t>；商品和服务支出</w:t>
      </w:r>
      <w:r>
        <w:rPr>
          <w:rFonts w:hint="eastAsia" w:ascii="仿宋" w:hAnsi="仿宋" w:eastAsia="仿宋" w:cs="仿宋"/>
          <w:spacing w:val="-12"/>
          <w:kern w:val="0"/>
          <w:sz w:val="32"/>
          <w:szCs w:val="32"/>
          <w:lang w:val="en-US" w:eastAsia="zh-CN" w:bidi="zh-CN"/>
        </w:rPr>
        <w:t>2317.94</w:t>
      </w:r>
      <w:r>
        <w:rPr>
          <w:rFonts w:hint="eastAsia" w:ascii="仿宋" w:hAnsi="仿宋" w:eastAsia="仿宋" w:cs="仿宋"/>
          <w:spacing w:val="-12"/>
          <w:kern w:val="0"/>
          <w:sz w:val="32"/>
          <w:szCs w:val="32"/>
          <w:lang w:val="zh-CN" w:eastAsia="zh-CN" w:bidi="zh-CN"/>
        </w:rPr>
        <w:t>万元，占支出预算总额的</w:t>
      </w:r>
      <w:r>
        <w:rPr>
          <w:rFonts w:hint="eastAsia" w:ascii="仿宋" w:hAnsi="仿宋" w:eastAsia="仿宋" w:cs="仿宋"/>
          <w:spacing w:val="-12"/>
          <w:kern w:val="0"/>
          <w:sz w:val="32"/>
          <w:szCs w:val="32"/>
          <w:lang w:val="en-US" w:eastAsia="zh-CN" w:bidi="zh-CN"/>
        </w:rPr>
        <w:t>69.42%</w:t>
      </w:r>
      <w:r>
        <w:rPr>
          <w:rFonts w:hint="eastAsia" w:ascii="仿宋" w:hAnsi="仿宋" w:eastAsia="仿宋" w:cs="仿宋"/>
          <w:spacing w:val="-12"/>
          <w:kern w:val="0"/>
          <w:sz w:val="32"/>
          <w:szCs w:val="32"/>
          <w:lang w:val="zh-CN" w:eastAsia="zh-CN" w:bidi="zh-CN"/>
        </w:rPr>
        <w:t>；</w:t>
      </w:r>
      <w:r>
        <w:rPr>
          <w:rFonts w:hint="eastAsia" w:ascii="仿宋" w:hAnsi="仿宋" w:eastAsia="仿宋" w:cs="仿宋"/>
          <w:spacing w:val="-12"/>
          <w:kern w:val="0"/>
          <w:sz w:val="32"/>
          <w:szCs w:val="32"/>
          <w:lang w:val="en-US" w:eastAsia="zh-CN" w:bidi="zh-CN"/>
        </w:rPr>
        <w:t>资本性</w:t>
      </w:r>
      <w:r>
        <w:rPr>
          <w:rFonts w:hint="eastAsia" w:ascii="仿宋" w:hAnsi="仿宋" w:eastAsia="仿宋" w:cs="仿宋"/>
          <w:spacing w:val="-12"/>
          <w:kern w:val="0"/>
          <w:sz w:val="32"/>
          <w:szCs w:val="32"/>
          <w:lang w:val="zh-CN" w:eastAsia="zh-CN" w:bidi="zh-CN"/>
        </w:rPr>
        <w:t>支出</w:t>
      </w:r>
      <w:r>
        <w:rPr>
          <w:rFonts w:hint="eastAsia" w:ascii="仿宋" w:hAnsi="仿宋" w:eastAsia="仿宋" w:cs="仿宋"/>
          <w:spacing w:val="-12"/>
          <w:kern w:val="0"/>
          <w:sz w:val="32"/>
          <w:szCs w:val="32"/>
          <w:lang w:val="en-US" w:eastAsia="zh-CN" w:bidi="zh-CN"/>
        </w:rPr>
        <w:t>620.2</w:t>
      </w:r>
      <w:r>
        <w:rPr>
          <w:rFonts w:hint="eastAsia" w:ascii="仿宋" w:hAnsi="仿宋" w:eastAsia="仿宋" w:cs="仿宋"/>
          <w:spacing w:val="-12"/>
          <w:kern w:val="0"/>
          <w:sz w:val="32"/>
          <w:szCs w:val="32"/>
          <w:lang w:val="zh-CN" w:eastAsia="zh-CN" w:bidi="zh-CN"/>
        </w:rPr>
        <w:t>万元，占支出预算总额的</w:t>
      </w:r>
      <w:r>
        <w:rPr>
          <w:rFonts w:hint="eastAsia" w:ascii="仿宋" w:hAnsi="仿宋" w:eastAsia="仿宋" w:cs="仿宋"/>
          <w:spacing w:val="-12"/>
          <w:kern w:val="0"/>
          <w:sz w:val="32"/>
          <w:szCs w:val="32"/>
          <w:lang w:val="en-US" w:eastAsia="zh-CN" w:bidi="zh-CN"/>
        </w:rPr>
        <w:t>18.58%</w:t>
      </w:r>
      <w:r>
        <w:rPr>
          <w:rFonts w:hint="eastAsia" w:ascii="仿宋" w:hAnsi="仿宋" w:eastAsia="仿宋" w:cs="仿宋"/>
          <w:spacing w:val="-12"/>
          <w:kern w:val="0"/>
          <w:sz w:val="32"/>
          <w:szCs w:val="32"/>
          <w:lang w:val="zh-CN" w:eastAsia="zh-CN" w:bidi="zh-CN"/>
        </w:rPr>
        <w:t>。</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（三）财政拨款支出情况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 xml:space="preserve">年红谷滩区政务服务数据管理局财政拨款支出预算 </w:t>
      </w:r>
      <w:r>
        <w:rPr>
          <w:rFonts w:hint="eastAsia" w:ascii="仿宋" w:hAnsi="仿宋" w:eastAsia="仿宋" w:cs="仿宋"/>
          <w:spacing w:val="-12"/>
          <w:kern w:val="0"/>
          <w:sz w:val="32"/>
          <w:szCs w:val="32"/>
          <w:lang w:val="en-US" w:eastAsia="zh-CN" w:bidi="zh-CN"/>
        </w:rPr>
        <w:t>3338.57</w:t>
      </w:r>
      <w:r>
        <w:rPr>
          <w:rFonts w:hint="eastAsia" w:ascii="仿宋" w:hAnsi="仿宋" w:eastAsia="仿宋" w:cs="仿宋"/>
          <w:spacing w:val="-12"/>
          <w:kern w:val="0"/>
          <w:sz w:val="32"/>
          <w:szCs w:val="32"/>
          <w:lang w:val="zh-CN" w:eastAsia="zh-CN" w:bidi="zh-CN"/>
        </w:rPr>
        <w:t>万元，比上年增加</w:t>
      </w:r>
      <w:r>
        <w:rPr>
          <w:rFonts w:hint="eastAsia" w:ascii="仿宋" w:hAnsi="仿宋" w:eastAsia="仿宋" w:cs="仿宋"/>
          <w:spacing w:val="-12"/>
          <w:kern w:val="0"/>
          <w:sz w:val="32"/>
          <w:szCs w:val="32"/>
          <w:lang w:val="en-US" w:eastAsia="zh-CN" w:bidi="zh-CN"/>
        </w:rPr>
        <w:t>616.17</w:t>
      </w:r>
      <w:r>
        <w:rPr>
          <w:rFonts w:hint="eastAsia" w:ascii="仿宋" w:hAnsi="仿宋" w:eastAsia="仿宋" w:cs="仿宋"/>
          <w:spacing w:val="-12"/>
          <w:kern w:val="0"/>
          <w:sz w:val="32"/>
          <w:szCs w:val="32"/>
          <w:lang w:val="zh-CN" w:eastAsia="zh-CN" w:bidi="zh-CN"/>
        </w:rPr>
        <w:t>万元，增长</w:t>
      </w:r>
      <w:r>
        <w:rPr>
          <w:rFonts w:hint="eastAsia" w:ascii="仿宋" w:hAnsi="仿宋" w:eastAsia="仿宋" w:cs="仿宋"/>
          <w:spacing w:val="-12"/>
          <w:kern w:val="0"/>
          <w:sz w:val="32"/>
          <w:szCs w:val="32"/>
          <w:lang w:val="en-US" w:eastAsia="zh-CN" w:bidi="zh-CN"/>
        </w:rPr>
        <w:t>27.12%</w:t>
      </w:r>
      <w:r>
        <w:rPr>
          <w:rFonts w:hint="eastAsia" w:ascii="仿宋" w:hAnsi="仿宋" w:eastAsia="仿宋" w:cs="仿宋"/>
          <w:spacing w:val="-12"/>
          <w:kern w:val="0"/>
          <w:sz w:val="32"/>
          <w:szCs w:val="32"/>
          <w:lang w:val="zh-CN" w:eastAsia="zh-CN" w:bidi="zh-CN"/>
        </w:rPr>
        <w:t>。具体支出情况是：</w:t>
      </w:r>
      <w:r>
        <w:rPr>
          <w:rFonts w:hint="eastAsia" w:ascii="仿宋" w:hAnsi="仿宋" w:eastAsia="仿宋" w:cs="仿宋"/>
          <w:spacing w:val="-12"/>
          <w:kern w:val="0"/>
          <w:sz w:val="32"/>
          <w:szCs w:val="32"/>
          <w:lang w:val="en-US" w:eastAsia="zh-CN" w:bidi="zh-CN"/>
        </w:rPr>
        <w:t>一般公共服务3338.57</w:t>
      </w:r>
      <w:r>
        <w:rPr>
          <w:rFonts w:hint="eastAsia" w:ascii="仿宋" w:hAnsi="仿宋" w:eastAsia="仿宋" w:cs="仿宋"/>
          <w:spacing w:val="-12"/>
          <w:kern w:val="0"/>
          <w:sz w:val="32"/>
          <w:szCs w:val="32"/>
          <w:lang w:val="zh-CN" w:eastAsia="zh-CN" w:bidi="zh-CN"/>
        </w:rPr>
        <w:t>万元，占财政拨款支出的</w:t>
      </w:r>
      <w:r>
        <w:rPr>
          <w:rFonts w:hint="eastAsia" w:ascii="仿宋" w:hAnsi="仿宋" w:eastAsia="仿宋" w:cs="仿宋"/>
          <w:spacing w:val="-12"/>
          <w:kern w:val="0"/>
          <w:sz w:val="32"/>
          <w:szCs w:val="32"/>
          <w:lang w:val="en-US" w:eastAsia="zh-CN" w:bidi="zh-CN"/>
        </w:rPr>
        <w:t>100%</w:t>
      </w:r>
      <w:r>
        <w:rPr>
          <w:rFonts w:hint="eastAsia" w:ascii="仿宋" w:hAnsi="仿宋" w:eastAsia="仿宋" w:cs="仿宋"/>
          <w:spacing w:val="-12"/>
          <w:kern w:val="0"/>
          <w:sz w:val="32"/>
          <w:szCs w:val="32"/>
          <w:lang w:val="zh-CN" w:eastAsia="zh-CN" w:bidi="zh-CN"/>
        </w:rPr>
        <w:t>。</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（四）政府性基金情况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本部门没有政府性基金预算。</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（五）机关运行经费等重要情况说明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z w:val="32"/>
          <w:szCs w:val="32"/>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年本部门机关运行费</w:t>
      </w:r>
      <w:r>
        <w:rPr>
          <w:rFonts w:hint="eastAsia" w:ascii="仿宋" w:hAnsi="仿宋" w:eastAsia="仿宋" w:cs="仿宋"/>
          <w:spacing w:val="-12"/>
          <w:kern w:val="0"/>
          <w:sz w:val="32"/>
          <w:szCs w:val="32"/>
          <w:lang w:val="en-US" w:eastAsia="zh-CN" w:bidi="zh-CN"/>
        </w:rPr>
        <w:t>853.95</w:t>
      </w:r>
      <w:r>
        <w:rPr>
          <w:rFonts w:hint="eastAsia" w:ascii="仿宋" w:hAnsi="仿宋" w:eastAsia="仿宋" w:cs="仿宋"/>
          <w:spacing w:val="-12"/>
          <w:kern w:val="0"/>
          <w:sz w:val="32"/>
          <w:szCs w:val="32"/>
          <w:lang w:val="zh-CN" w:eastAsia="zh-CN" w:bidi="zh-CN"/>
        </w:rPr>
        <w:t>万元，比 202</w:t>
      </w:r>
      <w:r>
        <w:rPr>
          <w:rFonts w:hint="eastAsia" w:ascii="仿宋" w:hAnsi="仿宋" w:eastAsia="仿宋" w:cs="仿宋"/>
          <w:spacing w:val="-12"/>
          <w:kern w:val="0"/>
          <w:sz w:val="32"/>
          <w:szCs w:val="32"/>
          <w:lang w:val="en-US" w:eastAsia="zh-CN" w:bidi="zh-CN"/>
        </w:rPr>
        <w:t>2</w:t>
      </w:r>
      <w:r>
        <w:rPr>
          <w:rFonts w:hint="eastAsia" w:ascii="仿宋" w:hAnsi="仿宋" w:eastAsia="仿宋" w:cs="仿宋"/>
          <w:spacing w:val="-12"/>
          <w:kern w:val="0"/>
          <w:sz w:val="32"/>
          <w:szCs w:val="32"/>
          <w:lang w:val="zh-CN" w:eastAsia="zh-CN" w:bidi="zh-CN"/>
        </w:rPr>
        <w:t>年预算增加</w:t>
      </w:r>
      <w:r>
        <w:rPr>
          <w:rFonts w:hint="eastAsia" w:ascii="仿宋" w:hAnsi="仿宋" w:eastAsia="仿宋" w:cs="仿宋"/>
          <w:spacing w:val="-12"/>
          <w:kern w:val="0"/>
          <w:sz w:val="32"/>
          <w:szCs w:val="32"/>
          <w:lang w:val="en-US" w:eastAsia="zh-CN" w:bidi="zh-CN"/>
        </w:rPr>
        <w:t>20.1</w:t>
      </w:r>
      <w:r>
        <w:rPr>
          <w:rFonts w:hint="eastAsia" w:ascii="仿宋" w:hAnsi="仿宋" w:eastAsia="仿宋" w:cs="仿宋"/>
          <w:spacing w:val="-12"/>
          <w:kern w:val="0"/>
          <w:sz w:val="32"/>
          <w:szCs w:val="32"/>
          <w:lang w:val="zh-CN" w:eastAsia="zh-CN" w:bidi="zh-CN"/>
        </w:rPr>
        <w:t>万元，增长</w:t>
      </w:r>
      <w:r>
        <w:rPr>
          <w:rFonts w:hint="eastAsia" w:ascii="仿宋" w:hAnsi="仿宋" w:eastAsia="仿宋" w:cs="仿宋"/>
          <w:spacing w:val="-12"/>
          <w:kern w:val="0"/>
          <w:sz w:val="32"/>
          <w:szCs w:val="32"/>
          <w:lang w:val="en-US" w:eastAsia="zh-CN" w:bidi="zh-CN"/>
        </w:rPr>
        <w:t>2.41%</w:t>
      </w:r>
      <w:r>
        <w:rPr>
          <w:rFonts w:hint="eastAsia" w:ascii="仿宋" w:hAnsi="仿宋" w:eastAsia="仿宋" w:cs="仿宋"/>
          <w:spacing w:val="-12"/>
          <w:kern w:val="0"/>
          <w:sz w:val="32"/>
          <w:szCs w:val="32"/>
          <w:lang w:val="zh-CN" w:eastAsia="zh-CN" w:bidi="zh-CN"/>
        </w:rPr>
        <w:t>。</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（六）政府采购情况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年红谷滩区政务服务数据管理局政府采购预算共安排</w:t>
      </w:r>
      <w:r>
        <w:rPr>
          <w:rFonts w:hint="eastAsia" w:ascii="仿宋" w:hAnsi="仿宋" w:eastAsia="仿宋" w:cs="仿宋"/>
          <w:spacing w:val="-12"/>
          <w:kern w:val="0"/>
          <w:sz w:val="32"/>
          <w:szCs w:val="32"/>
          <w:lang w:val="en-US" w:eastAsia="zh-CN" w:bidi="zh-CN"/>
        </w:rPr>
        <w:t>50</w:t>
      </w:r>
      <w:r>
        <w:rPr>
          <w:rFonts w:hint="eastAsia" w:ascii="仿宋" w:hAnsi="仿宋" w:eastAsia="仿宋" w:cs="仿宋"/>
          <w:spacing w:val="-12"/>
          <w:kern w:val="0"/>
          <w:sz w:val="32"/>
          <w:szCs w:val="32"/>
          <w:lang w:val="zh-CN" w:eastAsia="zh-CN" w:bidi="zh-CN"/>
        </w:rPr>
        <w:t>万元。其中，货物预算</w:t>
      </w:r>
      <w:r>
        <w:rPr>
          <w:rFonts w:hint="eastAsia" w:ascii="仿宋" w:hAnsi="仿宋" w:eastAsia="仿宋" w:cs="仿宋"/>
          <w:spacing w:val="-12"/>
          <w:kern w:val="0"/>
          <w:sz w:val="32"/>
          <w:szCs w:val="32"/>
          <w:lang w:val="en-US" w:eastAsia="zh-CN" w:bidi="zh-CN"/>
        </w:rPr>
        <w:t>25</w:t>
      </w:r>
      <w:r>
        <w:rPr>
          <w:rFonts w:hint="eastAsia" w:ascii="仿宋" w:hAnsi="仿宋" w:eastAsia="仿宋" w:cs="仿宋"/>
          <w:spacing w:val="-12"/>
          <w:kern w:val="0"/>
          <w:sz w:val="32"/>
          <w:szCs w:val="32"/>
          <w:lang w:val="zh-CN" w:eastAsia="zh-CN" w:bidi="zh-CN"/>
        </w:rPr>
        <w:t>万元，工程预算</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万元，服务预算</w:t>
      </w:r>
      <w:r>
        <w:rPr>
          <w:rFonts w:hint="eastAsia" w:ascii="仿宋" w:hAnsi="仿宋" w:eastAsia="仿宋" w:cs="仿宋"/>
          <w:spacing w:val="-12"/>
          <w:kern w:val="0"/>
          <w:sz w:val="32"/>
          <w:szCs w:val="32"/>
          <w:lang w:val="en-US" w:eastAsia="zh-CN" w:bidi="zh-CN"/>
        </w:rPr>
        <w:t>25</w:t>
      </w:r>
      <w:r>
        <w:rPr>
          <w:rFonts w:hint="eastAsia" w:ascii="仿宋" w:hAnsi="仿宋" w:eastAsia="仿宋" w:cs="仿宋"/>
          <w:spacing w:val="-12"/>
          <w:kern w:val="0"/>
          <w:sz w:val="32"/>
          <w:szCs w:val="32"/>
          <w:lang w:val="zh-CN" w:eastAsia="zh-CN" w:bidi="zh-CN"/>
        </w:rPr>
        <w:t>万元。</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bCs/>
          <w:spacing w:val="-12"/>
          <w:kern w:val="0"/>
          <w:sz w:val="32"/>
          <w:szCs w:val="32"/>
          <w:lang w:val="zh-CN" w:eastAsia="zh-CN" w:bidi="zh-CN"/>
        </w:rPr>
      </w:pPr>
      <w:r>
        <w:rPr>
          <w:rFonts w:hint="eastAsia" w:ascii="仿宋" w:hAnsi="仿宋" w:eastAsia="仿宋" w:cs="仿宋"/>
          <w:b/>
          <w:bCs/>
          <w:spacing w:val="-12"/>
          <w:kern w:val="0"/>
          <w:sz w:val="32"/>
          <w:szCs w:val="32"/>
          <w:lang w:val="zh-CN" w:eastAsia="zh-CN" w:bidi="zh-CN"/>
        </w:rPr>
        <w:t>（七）国有资产占有使用情况</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截至 202</w:t>
      </w:r>
      <w:r>
        <w:rPr>
          <w:rFonts w:hint="eastAsia" w:ascii="仿宋" w:hAnsi="仿宋" w:eastAsia="仿宋" w:cs="仿宋"/>
          <w:spacing w:val="-12"/>
          <w:kern w:val="0"/>
          <w:sz w:val="32"/>
          <w:szCs w:val="32"/>
          <w:lang w:val="en-US" w:eastAsia="zh-CN" w:bidi="zh-CN"/>
        </w:rPr>
        <w:t>2</w:t>
      </w:r>
      <w:r>
        <w:rPr>
          <w:rFonts w:hint="eastAsia" w:ascii="仿宋" w:hAnsi="仿宋" w:eastAsia="仿宋" w:cs="仿宋"/>
          <w:spacing w:val="-12"/>
          <w:kern w:val="0"/>
          <w:sz w:val="32"/>
          <w:szCs w:val="32"/>
          <w:lang w:val="zh-CN" w:eastAsia="zh-CN" w:bidi="zh-CN"/>
        </w:rPr>
        <w:t>年</w:t>
      </w:r>
      <w:r>
        <w:rPr>
          <w:rFonts w:hint="eastAsia" w:ascii="仿宋" w:hAnsi="仿宋" w:eastAsia="仿宋" w:cs="仿宋"/>
          <w:spacing w:val="-12"/>
          <w:kern w:val="0"/>
          <w:sz w:val="32"/>
          <w:szCs w:val="32"/>
          <w:lang w:val="en-US" w:eastAsia="zh-CN" w:bidi="zh-CN"/>
        </w:rPr>
        <w:t>9</w:t>
      </w:r>
      <w:r>
        <w:rPr>
          <w:rFonts w:hint="eastAsia" w:ascii="仿宋" w:hAnsi="仿宋" w:eastAsia="仿宋" w:cs="仿宋"/>
          <w:spacing w:val="-12"/>
          <w:kern w:val="0"/>
          <w:sz w:val="32"/>
          <w:szCs w:val="32"/>
          <w:lang w:val="zh-CN" w:eastAsia="zh-CN" w:bidi="zh-CN"/>
        </w:rPr>
        <w:t>月3</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日，部门共有车辆</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辆，其中，一般公务用车</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辆，执法执勤用车</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辆。</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zh-CN" w:eastAsia="zh-CN" w:bidi="zh-CN"/>
        </w:rPr>
        <w:t>202</w:t>
      </w:r>
      <w:r>
        <w:rPr>
          <w:rFonts w:hint="eastAsia" w:ascii="仿宋" w:hAnsi="仿宋" w:eastAsia="仿宋" w:cs="仿宋"/>
          <w:spacing w:val="-12"/>
          <w:kern w:val="0"/>
          <w:sz w:val="32"/>
          <w:szCs w:val="32"/>
          <w:lang w:val="en-US" w:eastAsia="zh-CN" w:bidi="zh-CN"/>
        </w:rPr>
        <w:t>3</w:t>
      </w:r>
      <w:r>
        <w:rPr>
          <w:rFonts w:hint="eastAsia" w:ascii="仿宋" w:hAnsi="仿宋" w:eastAsia="仿宋" w:cs="仿宋"/>
          <w:spacing w:val="-12"/>
          <w:kern w:val="0"/>
          <w:sz w:val="32"/>
          <w:szCs w:val="32"/>
          <w:lang w:val="zh-CN" w:eastAsia="zh-CN" w:bidi="zh-CN"/>
        </w:rPr>
        <w:t>年部门预算安排购置车辆</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辆，安排购置单位价值200万元以上大型设备具体为：设备</w:t>
      </w:r>
      <w:r>
        <w:rPr>
          <w:rFonts w:hint="eastAsia" w:ascii="仿宋" w:hAnsi="仿宋" w:eastAsia="仿宋" w:cs="仿宋"/>
          <w:spacing w:val="-12"/>
          <w:kern w:val="0"/>
          <w:sz w:val="32"/>
          <w:szCs w:val="32"/>
          <w:lang w:val="en-US" w:eastAsia="zh-CN" w:bidi="zh-CN"/>
        </w:rPr>
        <w:t>0</w:t>
      </w:r>
      <w:r>
        <w:rPr>
          <w:rFonts w:hint="eastAsia" w:ascii="仿宋" w:hAnsi="仿宋" w:eastAsia="仿宋" w:cs="仿宋"/>
          <w:spacing w:val="-12"/>
          <w:kern w:val="0"/>
          <w:sz w:val="32"/>
          <w:szCs w:val="32"/>
          <w:lang w:val="zh-CN" w:eastAsia="zh-CN" w:bidi="zh-CN"/>
        </w:rPr>
        <w:t>万元。</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default" w:ascii="仿宋" w:hAnsi="仿宋" w:eastAsia="仿宋" w:cs="仿宋"/>
          <w:b/>
          <w:bCs/>
          <w:spacing w:val="-12"/>
          <w:kern w:val="0"/>
          <w:sz w:val="32"/>
          <w:szCs w:val="32"/>
          <w:lang w:val="en-US" w:eastAsia="zh-CN" w:bidi="zh-CN"/>
        </w:rPr>
      </w:pPr>
      <w:r>
        <w:rPr>
          <w:rFonts w:hint="eastAsia" w:ascii="仿宋" w:hAnsi="仿宋" w:eastAsia="仿宋" w:cs="仿宋"/>
          <w:b/>
          <w:bCs/>
          <w:spacing w:val="-12"/>
          <w:kern w:val="0"/>
          <w:sz w:val="32"/>
          <w:szCs w:val="32"/>
          <w:lang w:val="zh-CN" w:eastAsia="zh-CN" w:bidi="zh-CN"/>
        </w:rPr>
        <w:t>（八）红谷滩区政务服务数据管理局项目情况说明</w:t>
      </w:r>
      <w:r>
        <w:rPr>
          <w:rFonts w:hint="eastAsia" w:ascii="仿宋" w:hAnsi="仿宋" w:eastAsia="仿宋" w:cs="仿宋"/>
          <w:b/>
          <w:bCs/>
          <w:spacing w:val="-12"/>
          <w:kern w:val="0"/>
          <w:sz w:val="32"/>
          <w:szCs w:val="32"/>
          <w:lang w:val="en-US" w:eastAsia="zh-CN" w:bidi="zh-CN"/>
        </w:rPr>
        <w:t>(部门本级）</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1.政务服务数据建设经费项目</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1）项目概述：建设覆盖全区的政务办公系统，实现全区各单位到区政府办的报文及信息报送、区政府办的收文，办文，公文分办转办、区政府对市政府以及对全区各单位的发文，全区各单位的收文；同时完成平台的信创适配及改造，并完成区各主要单位的内部个性化收发文流转及会议管理，日程管理，信息发布等通用办公OA功能应用建设。。</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2）立项依据：</w:t>
      </w:r>
      <w:r>
        <w:rPr>
          <w:rFonts w:hint="eastAsia" w:ascii="仿宋" w:hAnsi="仿宋" w:eastAsia="仿宋" w:cs="仿宋"/>
          <w:spacing w:val="-12"/>
          <w:kern w:val="0"/>
          <w:sz w:val="32"/>
          <w:szCs w:val="32"/>
          <w:lang w:val="en-US" w:eastAsia="zh-CN" w:bidi="zh-CN"/>
        </w:rPr>
        <w:t>依据《“赣政通”南昌市县分厅建设工作方案》和《“赣政通”南昌市县分厅建设工作联席会议制度》（洪府厅发[2020]118号）、《2021年“赣政通”建设工作要点》（赣发改电[2021]180号）要求进行建设。</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3）实施主体：红谷滩区政务服务数据管理局</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4）实施方案：</w:t>
      </w:r>
      <w:r>
        <w:rPr>
          <w:rFonts w:hint="eastAsia" w:ascii="仿宋" w:hAnsi="仿宋" w:eastAsia="仿宋" w:cs="仿宋"/>
          <w:spacing w:val="-12"/>
          <w:kern w:val="0"/>
          <w:sz w:val="32"/>
          <w:szCs w:val="32"/>
          <w:lang w:val="en-US" w:eastAsia="zh-CN" w:bidi="zh-CN"/>
        </w:rPr>
        <w:t>通过技术融合、业务融合、数据融合，加快实现跨层级、跨部门、跨系统的政务大协同，持续扩大平台覆盖范围，推动参与政务活动的国有企事业单位和乡镇（街道）、村（社区）全部接入，实现省、市、县、乡、村五级平台组织架构全覆盖。推动“赣政通”与“赣服通”等面向企业群众的办事系统互联互通、数据同步、业务协同，全面推行“赣服通”前端受理、“赣政通”后端办理的“前店后厂”模式。</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default"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zh-CN" w:eastAsia="zh-CN" w:bidi="zh-CN"/>
        </w:rPr>
        <w:t>5）实施周期：</w:t>
      </w:r>
      <w:r>
        <w:rPr>
          <w:rFonts w:hint="eastAsia" w:ascii="仿宋" w:hAnsi="仿宋" w:eastAsia="仿宋" w:cs="仿宋"/>
          <w:spacing w:val="-12"/>
          <w:kern w:val="0"/>
          <w:sz w:val="32"/>
          <w:szCs w:val="32"/>
          <w:lang w:val="en-US" w:eastAsia="zh-CN" w:bidi="zh-CN"/>
        </w:rPr>
        <w:t>2022年-2023年</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zh-CN" w:eastAsia="zh-CN" w:bidi="zh-CN"/>
        </w:rPr>
        <w:t>6）年度预算：安排</w:t>
      </w:r>
      <w:r>
        <w:rPr>
          <w:rFonts w:hint="eastAsia" w:ascii="仿宋" w:hAnsi="仿宋" w:eastAsia="仿宋" w:cs="仿宋"/>
          <w:spacing w:val="-12"/>
          <w:kern w:val="0"/>
          <w:sz w:val="32"/>
          <w:szCs w:val="32"/>
          <w:lang w:val="en-US" w:eastAsia="zh-CN" w:bidi="zh-CN"/>
        </w:rPr>
        <w:t>505.85万元</w:t>
      </w:r>
    </w:p>
    <w:p>
      <w:pPr>
        <w:ind w:firstLine="592" w:firstLineChars="200"/>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2.政务大厅运转工作经费</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1）项目概述：为提升政务大厅形象，提升窗口办事效率，全科综合受理有效助推“容缺受理”、“一链办理”“无证办理”等改革落地，设立红谷滩区政务服务大厅2023～2025年度行政审批前端综合事务服务外包采购项目。</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zh-CN" w:eastAsia="zh-CN" w:bidi="zh-CN"/>
        </w:rPr>
        <w:t>2）立项依据：</w:t>
      </w:r>
      <w:r>
        <w:rPr>
          <w:rFonts w:hint="eastAsia" w:ascii="仿宋" w:hAnsi="仿宋" w:eastAsia="仿宋" w:cs="仿宋"/>
          <w:spacing w:val="-12"/>
          <w:kern w:val="0"/>
          <w:sz w:val="32"/>
          <w:szCs w:val="32"/>
          <w:lang w:val="en-US" w:eastAsia="zh-CN" w:bidi="zh-CN"/>
        </w:rPr>
        <w:t>根据《中共中央办公厅国务院办公厅印发关于深入推进审批服务便民化的指导意见》《国务院办公厅关于印发进一步深化“互联网+政务服务”推进政务服务“一网、一门、一次”改革实施方案的通知》《江西省进一步深化“放管服”改革推进政务服务便民化若干措施》等文件要求，进一步提升政务服务质效，不断策应企业群众新阶段更高水平政务服务需求。</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3）实施主体：红谷滩区政务服务数据管理局</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zh-CN" w:eastAsia="zh-CN" w:bidi="zh-CN"/>
        </w:rPr>
      </w:pPr>
      <w:r>
        <w:rPr>
          <w:rFonts w:hint="eastAsia" w:ascii="仿宋" w:hAnsi="仿宋" w:eastAsia="仿宋" w:cs="仿宋"/>
          <w:spacing w:val="-12"/>
          <w:kern w:val="0"/>
          <w:sz w:val="32"/>
          <w:szCs w:val="32"/>
          <w:lang w:val="zh-CN" w:eastAsia="zh-CN" w:bidi="zh-CN"/>
        </w:rPr>
        <w:t>4）实施方案：</w:t>
      </w:r>
      <w:r>
        <w:rPr>
          <w:rFonts w:hint="eastAsia" w:ascii="仿宋" w:hAnsi="仿宋" w:eastAsia="仿宋" w:cs="仿宋"/>
          <w:spacing w:val="-12"/>
          <w:kern w:val="0"/>
          <w:sz w:val="32"/>
          <w:szCs w:val="32"/>
          <w:lang w:val="en-US" w:eastAsia="zh-CN" w:bidi="zh-CN"/>
        </w:rPr>
        <w:t>按照“全面节约”原则设立服务岗位，做好政务服务大厅整体面向企业群众的服务事项，保证政务服务大厅服务质量。</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default"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zh-CN" w:eastAsia="zh-CN" w:bidi="zh-CN"/>
        </w:rPr>
        <w:t>5）实施周期：</w:t>
      </w:r>
      <w:r>
        <w:rPr>
          <w:rFonts w:hint="eastAsia" w:ascii="仿宋" w:hAnsi="仿宋" w:eastAsia="仿宋" w:cs="仿宋"/>
          <w:spacing w:val="-12"/>
          <w:kern w:val="0"/>
          <w:sz w:val="32"/>
          <w:szCs w:val="32"/>
          <w:lang w:val="en-US" w:eastAsia="zh-CN" w:bidi="zh-CN"/>
        </w:rPr>
        <w:t>2023年-2025年</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default"/>
          <w:lang w:val="en-US" w:eastAsia="zh-CN"/>
        </w:rPr>
      </w:pPr>
      <w:r>
        <w:rPr>
          <w:rFonts w:hint="eastAsia" w:ascii="仿宋" w:hAnsi="仿宋" w:eastAsia="仿宋" w:cs="仿宋"/>
          <w:spacing w:val="-12"/>
          <w:kern w:val="0"/>
          <w:sz w:val="32"/>
          <w:szCs w:val="32"/>
          <w:lang w:val="zh-CN" w:eastAsia="zh-CN" w:bidi="zh-CN"/>
        </w:rPr>
        <w:t>6）年度预算：安排</w:t>
      </w:r>
      <w:r>
        <w:rPr>
          <w:rFonts w:hint="eastAsia" w:ascii="仿宋" w:hAnsi="仿宋" w:eastAsia="仿宋" w:cs="仿宋"/>
          <w:spacing w:val="-12"/>
          <w:kern w:val="0"/>
          <w:sz w:val="32"/>
          <w:szCs w:val="32"/>
          <w:lang w:val="en-US" w:eastAsia="zh-CN" w:bidi="zh-CN"/>
        </w:rPr>
        <w:t>501万元</w:t>
      </w:r>
    </w:p>
    <w:p>
      <w:pPr>
        <w:pStyle w:val="6"/>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黑体" w:hAnsi="黑体" w:eastAsia="黑体" w:cs="黑体"/>
          <w:b w:val="0"/>
          <w:bCs w:val="0"/>
          <w:spacing w:val="-12"/>
          <w:kern w:val="0"/>
          <w:sz w:val="32"/>
          <w:szCs w:val="32"/>
          <w:lang w:val="en-US" w:eastAsia="zh-CN" w:bidi="zh-CN"/>
        </w:rPr>
      </w:pPr>
      <w:r>
        <w:rPr>
          <w:rFonts w:hint="eastAsia" w:ascii="黑体" w:hAnsi="黑体" w:eastAsia="黑体" w:cs="黑体"/>
          <w:b w:val="0"/>
          <w:bCs w:val="0"/>
          <w:spacing w:val="-12"/>
          <w:kern w:val="0"/>
          <w:sz w:val="32"/>
          <w:szCs w:val="32"/>
          <w:lang w:val="en-US" w:eastAsia="zh-CN" w:bidi="zh-CN"/>
        </w:rPr>
        <w:t>二、2023年“三公”经费预算情况说明</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2023年本部门“三公”经费年初预算安排0万元。其中:</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（一）因公出国（境）经费0万元，比上年增加/减少0万元。</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（二）公务接待费0万元，比上年增加/减少0万元。</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（三）公务用车运行维护费0万元，比上年增加/减少0万元。</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39"/>
        <w:jc w:val="both"/>
        <w:textAlignment w:val="auto"/>
        <w:rPr>
          <w:rFonts w:hint="eastAsia" w:ascii="仿宋" w:hAnsi="仿宋" w:eastAsia="仿宋" w:cs="仿宋"/>
          <w:spacing w:val="-12"/>
          <w:kern w:val="0"/>
          <w:sz w:val="32"/>
          <w:szCs w:val="32"/>
          <w:lang w:val="en-US" w:eastAsia="zh-CN" w:bidi="zh-CN"/>
        </w:rPr>
      </w:pPr>
      <w:r>
        <w:rPr>
          <w:rFonts w:hint="eastAsia" w:ascii="仿宋" w:hAnsi="仿宋" w:eastAsia="仿宋" w:cs="仿宋"/>
          <w:spacing w:val="-12"/>
          <w:kern w:val="0"/>
          <w:sz w:val="32"/>
          <w:szCs w:val="32"/>
          <w:lang w:val="en-US" w:eastAsia="zh-CN" w:bidi="zh-CN"/>
        </w:rPr>
        <w:t>（四）公务用车购置费0万元，比上年增加/减少0万元。</w:t>
      </w:r>
    </w:p>
    <w:p>
      <w:pPr>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firstLine="0"/>
        <w:jc w:val="center"/>
        <w:textAlignment w:val="auto"/>
        <w:rPr>
          <w:rFonts w:hint="eastAsia" w:ascii="仿宋" w:hAnsi="仿宋" w:eastAsia="仿宋" w:cs="仿宋"/>
          <w:b/>
          <w:sz w:val="32"/>
          <w:szCs w:val="32"/>
        </w:rPr>
      </w:pPr>
    </w:p>
    <w:p>
      <w:pPr>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firstLine="0"/>
        <w:jc w:val="center"/>
        <w:textAlignment w:val="auto"/>
        <w:rPr>
          <w:rFonts w:hint="eastAsia" w:ascii="仿宋" w:hAnsi="仿宋" w:eastAsia="仿宋" w:cs="仿宋"/>
          <w:b/>
          <w:sz w:val="32"/>
          <w:szCs w:val="32"/>
        </w:rPr>
      </w:pPr>
    </w:p>
    <w:p>
      <w:pPr>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firstLine="0"/>
        <w:jc w:val="center"/>
        <w:textAlignment w:val="auto"/>
        <w:rPr>
          <w:rFonts w:hint="eastAsia" w:ascii="仿宋" w:hAnsi="仿宋" w:eastAsia="仿宋" w:cs="仿宋"/>
          <w:b/>
          <w:sz w:val="32"/>
          <w:szCs w:val="32"/>
        </w:rPr>
      </w:pPr>
    </w:p>
    <w:p>
      <w:pPr>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firstLine="0"/>
        <w:jc w:val="center"/>
        <w:textAlignment w:val="auto"/>
        <w:rPr>
          <w:rFonts w:hint="eastAsia" w:ascii="仿宋" w:hAnsi="仿宋" w:eastAsia="仿宋" w:cs="仿宋"/>
          <w:b/>
          <w:sz w:val="32"/>
          <w:szCs w:val="32"/>
        </w:rPr>
      </w:pPr>
    </w:p>
    <w:p>
      <w:pPr>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firstLine="0"/>
        <w:jc w:val="center"/>
        <w:textAlignment w:val="auto"/>
        <w:rPr>
          <w:rFonts w:hint="eastAsia" w:ascii="仿宋" w:hAnsi="仿宋" w:eastAsia="仿宋" w:cs="仿宋"/>
          <w:sz w:val="32"/>
          <w:szCs w:val="32"/>
        </w:rPr>
      </w:pPr>
      <w:r>
        <w:rPr>
          <w:rFonts w:hint="eastAsia" w:ascii="仿宋" w:hAnsi="仿宋" w:eastAsia="仿宋" w:cs="仿宋"/>
          <w:b/>
          <w:sz w:val="32"/>
          <w:szCs w:val="32"/>
        </w:rPr>
        <w:t>第三部分</w:t>
      </w:r>
      <w:r>
        <w:rPr>
          <w:rFonts w:hint="eastAsia" w:ascii="仿宋" w:hAnsi="仿宋" w:eastAsia="仿宋" w:cs="仿宋"/>
          <w:b/>
          <w:sz w:val="32"/>
          <w:szCs w:val="32"/>
        </w:rPr>
        <w:tab/>
      </w:r>
      <w:r>
        <w:rPr>
          <w:rFonts w:hint="eastAsia" w:ascii="仿宋" w:hAnsi="仿宋" w:eastAsia="仿宋" w:cs="仿宋"/>
          <w:b/>
          <w:sz w:val="32"/>
          <w:szCs w:val="32"/>
        </w:rPr>
        <w:t>红谷滩区政务服务数据管理局</w:t>
      </w:r>
      <w:r>
        <w:rPr>
          <w:rFonts w:hint="eastAsia" w:ascii="仿宋" w:hAnsi="仿宋" w:eastAsia="仿宋" w:cs="仿宋"/>
          <w:b/>
          <w:sz w:val="32"/>
          <w:szCs w:val="32"/>
          <w:lang w:eastAsia="zh-CN"/>
        </w:rPr>
        <w:t>202</w:t>
      </w:r>
      <w:r>
        <w:rPr>
          <w:rFonts w:hint="eastAsia" w:ascii="仿宋" w:hAnsi="仿宋" w:eastAsia="仿宋" w:cs="仿宋"/>
          <w:b/>
          <w:sz w:val="32"/>
          <w:szCs w:val="32"/>
          <w:lang w:val="en-US" w:eastAsia="zh-CN"/>
        </w:rPr>
        <w:t>3</w:t>
      </w:r>
      <w:r>
        <w:rPr>
          <w:rFonts w:hint="eastAsia" w:ascii="仿宋" w:hAnsi="仿宋" w:eastAsia="仿宋" w:cs="仿宋"/>
          <w:b/>
          <w:sz w:val="32"/>
          <w:szCs w:val="32"/>
        </w:rPr>
        <w:t>年部门预算表</w:t>
      </w:r>
      <w:r>
        <w:drawing>
          <wp:anchor distT="0" distB="0" distL="114300" distR="114300" simplePos="0" relativeHeight="251660288" behindDoc="0" locked="0" layoutInCell="1" allowOverlap="1">
            <wp:simplePos x="0" y="0"/>
            <wp:positionH relativeFrom="column">
              <wp:posOffset>-66675</wp:posOffset>
            </wp:positionH>
            <wp:positionV relativeFrom="page">
              <wp:posOffset>1743075</wp:posOffset>
            </wp:positionV>
            <wp:extent cx="5857875" cy="6000750"/>
            <wp:effectExtent l="0" t="0" r="9525" b="0"/>
            <wp:wrapSquare wrapText="bothSides"/>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7"/>
                    <a:stretch>
                      <a:fillRect/>
                    </a:stretch>
                  </pic:blipFill>
                  <pic:spPr>
                    <a:xfrm>
                      <a:off x="0" y="0"/>
                      <a:ext cx="5857875" cy="6000750"/>
                    </a:xfrm>
                    <a:prstGeom prst="rect">
                      <a:avLst/>
                    </a:prstGeom>
                    <a:noFill/>
                    <a:ln>
                      <a:noFill/>
                    </a:ln>
                  </pic:spPr>
                </pic:pic>
              </a:graphicData>
            </a:graphic>
          </wp:anchor>
        </w:drawing>
      </w:r>
      <w:r>
        <w:drawing>
          <wp:anchor distT="0" distB="0" distL="114300" distR="114300" simplePos="0" relativeHeight="251661312" behindDoc="0" locked="0" layoutInCell="1" allowOverlap="1">
            <wp:simplePos x="0" y="0"/>
            <wp:positionH relativeFrom="column">
              <wp:posOffset>-66675</wp:posOffset>
            </wp:positionH>
            <wp:positionV relativeFrom="page">
              <wp:posOffset>7905750</wp:posOffset>
            </wp:positionV>
            <wp:extent cx="5852160" cy="1673225"/>
            <wp:effectExtent l="0" t="0" r="15240" b="3175"/>
            <wp:wrapSquare wrapText="bothSides"/>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8"/>
                    <a:stretch>
                      <a:fillRect/>
                    </a:stretch>
                  </pic:blipFill>
                  <pic:spPr>
                    <a:xfrm>
                      <a:off x="0" y="0"/>
                      <a:ext cx="5852160" cy="1673225"/>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r>
        <w:drawing>
          <wp:anchor distT="0" distB="0" distL="114300" distR="114300" simplePos="0" relativeHeight="251664384" behindDoc="0" locked="0" layoutInCell="1" allowOverlap="1">
            <wp:simplePos x="0" y="0"/>
            <wp:positionH relativeFrom="column">
              <wp:posOffset>-66675</wp:posOffset>
            </wp:positionH>
            <wp:positionV relativeFrom="page">
              <wp:posOffset>4632960</wp:posOffset>
            </wp:positionV>
            <wp:extent cx="5892165" cy="5120005"/>
            <wp:effectExtent l="0" t="0" r="13335" b="4445"/>
            <wp:wrapSquare wrapText="bothSides"/>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9"/>
                    <a:stretch>
                      <a:fillRect/>
                    </a:stretch>
                  </pic:blipFill>
                  <pic:spPr>
                    <a:xfrm>
                      <a:off x="0" y="0"/>
                      <a:ext cx="5892165" cy="512000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0</wp:posOffset>
            </wp:positionH>
            <wp:positionV relativeFrom="page">
              <wp:posOffset>2750820</wp:posOffset>
            </wp:positionV>
            <wp:extent cx="5859780" cy="1728470"/>
            <wp:effectExtent l="0" t="0" r="7620" b="5080"/>
            <wp:wrapSquare wrapText="bothSides"/>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10"/>
                    <a:stretch>
                      <a:fillRect/>
                    </a:stretch>
                  </pic:blipFill>
                  <pic:spPr>
                    <a:xfrm>
                      <a:off x="0" y="0"/>
                      <a:ext cx="5859780" cy="1728470"/>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19050</wp:posOffset>
            </wp:positionH>
            <wp:positionV relativeFrom="page">
              <wp:posOffset>1040130</wp:posOffset>
            </wp:positionV>
            <wp:extent cx="5854065" cy="1530985"/>
            <wp:effectExtent l="0" t="0" r="13335" b="12065"/>
            <wp:wrapSquare wrapText="bothSides"/>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11"/>
                    <a:stretch>
                      <a:fillRect/>
                    </a:stretch>
                  </pic:blipFill>
                  <pic:spPr>
                    <a:xfrm>
                      <a:off x="0" y="0"/>
                      <a:ext cx="5854065" cy="1530985"/>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drawing>
          <wp:anchor distT="0" distB="0" distL="114300" distR="114300" simplePos="0" relativeHeight="251666432" behindDoc="0" locked="0" layoutInCell="1" allowOverlap="1">
            <wp:simplePos x="0" y="0"/>
            <wp:positionH relativeFrom="column">
              <wp:posOffset>-57150</wp:posOffset>
            </wp:positionH>
            <wp:positionV relativeFrom="page">
              <wp:posOffset>2979420</wp:posOffset>
            </wp:positionV>
            <wp:extent cx="5853430" cy="1623060"/>
            <wp:effectExtent l="0" t="0" r="13970" b="15240"/>
            <wp:wrapSquare wrapText="bothSides"/>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12"/>
                    <a:stretch>
                      <a:fillRect/>
                    </a:stretch>
                  </pic:blipFill>
                  <pic:spPr>
                    <a:xfrm>
                      <a:off x="0" y="0"/>
                      <a:ext cx="5853430" cy="1623060"/>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-76200</wp:posOffset>
            </wp:positionH>
            <wp:positionV relativeFrom="page">
              <wp:posOffset>4820285</wp:posOffset>
            </wp:positionV>
            <wp:extent cx="5851525" cy="1038860"/>
            <wp:effectExtent l="0" t="0" r="15875" b="8890"/>
            <wp:wrapSquare wrapText="bothSides"/>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13"/>
                    <a:stretch>
                      <a:fillRect/>
                    </a:stretch>
                  </pic:blipFill>
                  <pic:spPr>
                    <a:xfrm>
                      <a:off x="0" y="0"/>
                      <a:ext cx="5851525" cy="1038860"/>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-95250</wp:posOffset>
            </wp:positionH>
            <wp:positionV relativeFrom="page">
              <wp:posOffset>6156325</wp:posOffset>
            </wp:positionV>
            <wp:extent cx="5859145" cy="1072515"/>
            <wp:effectExtent l="0" t="0" r="8255" b="13335"/>
            <wp:wrapSquare wrapText="bothSides"/>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14"/>
                    <a:stretch>
                      <a:fillRect/>
                    </a:stretch>
                  </pic:blipFill>
                  <pic:spPr>
                    <a:xfrm>
                      <a:off x="0" y="0"/>
                      <a:ext cx="5859145" cy="1072515"/>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-66675</wp:posOffset>
            </wp:positionH>
            <wp:positionV relativeFrom="page">
              <wp:posOffset>1167130</wp:posOffset>
            </wp:positionV>
            <wp:extent cx="5859780" cy="1535430"/>
            <wp:effectExtent l="0" t="0" r="7620" b="7620"/>
            <wp:wrapSquare wrapText="bothSides"/>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15"/>
                    <a:stretch>
                      <a:fillRect/>
                    </a:stretch>
                  </pic:blipFill>
                  <pic:spPr>
                    <a:xfrm>
                      <a:off x="0" y="0"/>
                      <a:ext cx="5859780" cy="1535430"/>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drawing>
          <wp:anchor distT="0" distB="0" distL="114300" distR="114300" simplePos="0" relativeHeight="251669504" behindDoc="0" locked="0" layoutInCell="1" allowOverlap="1">
            <wp:simplePos x="0" y="0"/>
            <wp:positionH relativeFrom="column">
              <wp:posOffset>-142875</wp:posOffset>
            </wp:positionH>
            <wp:positionV relativeFrom="page">
              <wp:posOffset>7778115</wp:posOffset>
            </wp:positionV>
            <wp:extent cx="5856605" cy="1096010"/>
            <wp:effectExtent l="0" t="0" r="10795" b="8890"/>
            <wp:wrapSquare wrapText="bothSides"/>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16"/>
                    <a:stretch>
                      <a:fillRect/>
                    </a:stretch>
                  </pic:blipFill>
                  <pic:spPr>
                    <a:xfrm>
                      <a:off x="0" y="0"/>
                      <a:ext cx="5856605" cy="1096010"/>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drawing>
          <wp:anchor distT="0" distB="0" distL="114300" distR="114300" simplePos="0" relativeHeight="251670528" behindDoc="0" locked="0" layoutInCell="1" allowOverlap="1">
            <wp:simplePos x="0" y="0"/>
            <wp:positionH relativeFrom="column">
              <wp:posOffset>-28575</wp:posOffset>
            </wp:positionH>
            <wp:positionV relativeFrom="page">
              <wp:posOffset>1333500</wp:posOffset>
            </wp:positionV>
            <wp:extent cx="5859780" cy="7904480"/>
            <wp:effectExtent l="0" t="0" r="7620" b="1270"/>
            <wp:wrapSquare wrapText="bothSides"/>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7"/>
                    <a:stretch>
                      <a:fillRect/>
                    </a:stretch>
                  </pic:blipFill>
                  <pic:spPr>
                    <a:xfrm>
                      <a:off x="0" y="0"/>
                      <a:ext cx="5859780" cy="7904480"/>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drawing>
          <wp:anchor distT="0" distB="0" distL="114300" distR="114300" simplePos="0" relativeHeight="251671552" behindDoc="0" locked="0" layoutInCell="1" allowOverlap="1">
            <wp:simplePos x="0" y="0"/>
            <wp:positionH relativeFrom="column">
              <wp:posOffset>-57150</wp:posOffset>
            </wp:positionH>
            <wp:positionV relativeFrom="page">
              <wp:posOffset>1343025</wp:posOffset>
            </wp:positionV>
            <wp:extent cx="5855335" cy="7083425"/>
            <wp:effectExtent l="0" t="0" r="12065" b="3175"/>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855335" cy="7083425"/>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r>
        <w:drawing>
          <wp:anchor distT="0" distB="0" distL="114300" distR="114300" simplePos="0" relativeHeight="251672576" behindDoc="0" locked="0" layoutInCell="1" allowOverlap="1">
            <wp:simplePos x="0" y="0"/>
            <wp:positionH relativeFrom="column">
              <wp:posOffset>-57150</wp:posOffset>
            </wp:positionH>
            <wp:positionV relativeFrom="page">
              <wp:posOffset>1581150</wp:posOffset>
            </wp:positionV>
            <wp:extent cx="5855335" cy="7232650"/>
            <wp:effectExtent l="0" t="0" r="12065" b="6350"/>
            <wp:wrapSquare wrapText="bothSides"/>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9"/>
                    <a:stretch>
                      <a:fillRect/>
                    </a:stretch>
                  </pic:blipFill>
                  <pic:spPr>
                    <a:xfrm>
                      <a:off x="0" y="0"/>
                      <a:ext cx="5855335" cy="7232650"/>
                    </a:xfrm>
                    <a:prstGeom prst="rect">
                      <a:avLst/>
                    </a:prstGeom>
                    <a:noFill/>
                    <a:ln>
                      <a:noFill/>
                    </a:ln>
                  </pic:spPr>
                </pic:pic>
              </a:graphicData>
            </a:graphic>
          </wp:anchor>
        </w:drawing>
      </w: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sz w:val="32"/>
          <w:szCs w:val="32"/>
        </w:rPr>
      </w:pPr>
    </w:p>
    <w:p>
      <w:pPr>
        <w:rPr>
          <w:rFonts w:hint="eastAsia" w:ascii="仿宋" w:hAnsi="仿宋" w:eastAsia="仿宋" w:cs="仿宋"/>
          <w:sz w:val="32"/>
          <w:szCs w:val="32"/>
        </w:rPr>
      </w:pPr>
    </w:p>
    <w:p>
      <w:pPr>
        <w:pStyle w:val="7"/>
        <w:rPr>
          <w:rFonts w:hint="eastAsia"/>
        </w:rPr>
      </w:pP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p>
    <w:p>
      <w:pPr>
        <w:pStyle w:val="6"/>
        <w:keepNext w:val="0"/>
        <w:keepLines w:val="0"/>
        <w:pageBreakBefore w:val="0"/>
        <w:widowControl w:val="0"/>
        <w:tabs>
          <w:tab w:val="left" w:pos="1605"/>
        </w:tabs>
        <w:kinsoku/>
        <w:wordWrap/>
        <w:overflowPunct/>
        <w:topLinePunct w:val="0"/>
        <w:autoSpaceDE w:val="0"/>
        <w:autoSpaceDN w:val="0"/>
        <w:bidi w:val="0"/>
        <w:adjustRightInd/>
        <w:snapToGrid/>
        <w:spacing w:before="0" w:after="0" w:line="560" w:lineRule="exact"/>
        <w:ind w:left="0" w:right="0"/>
        <w:jc w:val="center"/>
        <w:textAlignment w:val="auto"/>
        <w:rPr>
          <w:rFonts w:hint="eastAsia" w:ascii="仿宋" w:hAnsi="仿宋" w:eastAsia="仿宋" w:cs="仿宋"/>
          <w:sz w:val="32"/>
          <w:szCs w:val="32"/>
        </w:rPr>
      </w:pPr>
      <w:r>
        <w:rPr>
          <w:rFonts w:hint="eastAsia" w:ascii="仿宋" w:hAnsi="仿宋" w:eastAsia="仿宋" w:cs="仿宋"/>
          <w:sz w:val="32"/>
          <w:szCs w:val="32"/>
        </w:rPr>
        <w:t>第四部分</w:t>
      </w:r>
      <w:r>
        <w:rPr>
          <w:rFonts w:hint="eastAsia" w:ascii="仿宋" w:hAnsi="仿宋" w:eastAsia="仿宋" w:cs="仿宋"/>
          <w:sz w:val="32"/>
          <w:szCs w:val="32"/>
        </w:rPr>
        <w:tab/>
      </w:r>
      <w:r>
        <w:rPr>
          <w:rFonts w:hint="eastAsia" w:ascii="仿宋" w:hAnsi="仿宋" w:eastAsia="仿宋" w:cs="仿宋"/>
          <w:sz w:val="32"/>
          <w:szCs w:val="32"/>
        </w:rPr>
        <w:t>名词解释</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仿宋" w:hAnsi="仿宋" w:eastAsia="仿宋" w:cs="仿宋"/>
          <w:b/>
          <w:sz w:val="32"/>
          <w:szCs w:val="32"/>
        </w:rPr>
      </w:pP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jc w:val="both"/>
        <w:textAlignment w:val="auto"/>
        <w:rPr>
          <w:rFonts w:hint="eastAsia" w:ascii="黑体" w:hAnsi="黑体" w:eastAsia="黑体" w:cs="黑体"/>
          <w:sz w:val="32"/>
          <w:szCs w:val="32"/>
        </w:rPr>
      </w:pPr>
      <w:r>
        <w:rPr>
          <w:rFonts w:hint="eastAsia" w:ascii="黑体" w:hAnsi="黑体" w:eastAsia="黑体" w:cs="黑体"/>
          <w:sz w:val="32"/>
          <w:szCs w:val="32"/>
        </w:rPr>
        <w:t>一、收入科目</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olor w:val="000000"/>
          <w:kern w:val="0"/>
          <w:sz w:val="32"/>
          <w:szCs w:val="32"/>
        </w:rPr>
      </w:pPr>
      <w:r>
        <w:rPr>
          <w:rFonts w:hint="eastAsia" w:ascii="楷体" w:hAnsi="楷体" w:eastAsia="楷体" w:cs="楷体"/>
          <w:b/>
          <w:bCs/>
          <w:color w:val="000000"/>
          <w:kern w:val="0"/>
          <w:sz w:val="32"/>
          <w:szCs w:val="32"/>
        </w:rPr>
        <w:t>(一)财政拨款收入：</w:t>
      </w:r>
      <w:r>
        <w:rPr>
          <w:rFonts w:hint="eastAsia" w:ascii="仿宋" w:hAnsi="仿宋" w:eastAsia="仿宋"/>
          <w:color w:val="000000"/>
          <w:kern w:val="0"/>
          <w:sz w:val="32"/>
          <w:szCs w:val="32"/>
        </w:rPr>
        <w:t>指本级财政当年拨付的资金。</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 w:hAnsi="仿宋" w:eastAsia="仿宋"/>
          <w:color w:val="000000"/>
          <w:kern w:val="0"/>
          <w:sz w:val="32"/>
          <w:szCs w:val="32"/>
        </w:rPr>
      </w:pPr>
      <w:r>
        <w:rPr>
          <w:rFonts w:hint="eastAsia" w:ascii="仿宋" w:hAnsi="仿宋" w:eastAsia="仿宋"/>
          <w:color w:val="000000"/>
          <w:kern w:val="0"/>
          <w:sz w:val="32"/>
          <w:szCs w:val="32"/>
        </w:rPr>
        <w:t>　</w:t>
      </w:r>
      <w:r>
        <w:rPr>
          <w:rFonts w:hint="eastAsia" w:ascii="楷体" w:hAnsi="楷体" w:eastAsia="楷体" w:cs="楷体"/>
          <w:b/>
          <w:bCs/>
          <w:color w:val="000000"/>
          <w:kern w:val="0"/>
          <w:sz w:val="32"/>
          <w:szCs w:val="32"/>
        </w:rPr>
        <w:t>　(二)事业收入：</w:t>
      </w:r>
      <w:r>
        <w:rPr>
          <w:rFonts w:hint="eastAsia" w:ascii="仿宋" w:hAnsi="仿宋" w:eastAsia="仿宋"/>
          <w:color w:val="000000"/>
          <w:kern w:val="0"/>
          <w:sz w:val="32"/>
          <w:szCs w:val="32"/>
        </w:rPr>
        <w:t>指事业单位开展专业业务活动及其辅助活动取得的收入。</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（三）其他收入：</w:t>
      </w:r>
      <w:r>
        <w:rPr>
          <w:rFonts w:hint="eastAsia" w:ascii="仿宋" w:hAnsi="仿宋" w:eastAsia="仿宋"/>
          <w:color w:val="000000"/>
          <w:kern w:val="0"/>
          <w:sz w:val="32"/>
          <w:szCs w:val="32"/>
        </w:rPr>
        <w:t>指除“财政拨款收入”、“事业收入”、“经营收入”等以外的收入，包括银行存款利息收入、租金收入、捐赠收入，现金盘盈收入、存货盘盈收入、收回已核销应收及预付款项、无法偿付的应付及预收款项等。</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（四）事业单位经营收入：</w:t>
      </w:r>
      <w:r>
        <w:rPr>
          <w:rFonts w:hint="eastAsia" w:ascii="仿宋" w:hAnsi="仿宋" w:eastAsia="仿宋" w:cs="仿宋"/>
          <w:sz w:val="32"/>
          <w:szCs w:val="32"/>
          <w:lang w:bidi="ar-SA"/>
        </w:rPr>
        <w:t>指事业单位在专业业务活动及辅助活动之外开展非独立核算经营活动取得的收入。</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（五）附属单位上缴收入：</w:t>
      </w:r>
      <w:r>
        <w:rPr>
          <w:rFonts w:hint="eastAsia" w:ascii="仿宋" w:hAnsi="仿宋" w:eastAsia="仿宋" w:cs="仿宋"/>
          <w:sz w:val="32"/>
          <w:szCs w:val="32"/>
          <w:lang w:bidi="ar-SA"/>
        </w:rPr>
        <w:t>反映事业单位附属的独立核算单位按规定标准或比例缴纳的各项收入。包括附属的事业单位上缴的收入和附属的企业上缴的利润等。</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（六）上级补助收入：</w:t>
      </w:r>
      <w:r>
        <w:rPr>
          <w:rFonts w:hint="eastAsia" w:ascii="仿宋" w:hAnsi="仿宋" w:eastAsia="仿宋" w:cs="仿宋"/>
          <w:sz w:val="32"/>
          <w:szCs w:val="32"/>
          <w:lang w:bidi="ar-SA"/>
        </w:rPr>
        <w:t>反映事业单位从主管部门和上级单位取得的非财政补助收入。</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（七）其他收入：</w:t>
      </w:r>
      <w:r>
        <w:rPr>
          <w:rFonts w:hint="eastAsia" w:ascii="仿宋" w:hAnsi="仿宋" w:eastAsia="仿宋" w:cs="仿宋"/>
          <w:sz w:val="32"/>
          <w:szCs w:val="32"/>
          <w:lang w:bidi="ar-SA"/>
        </w:rPr>
        <w:t>指除财政拨款、事业收入、事业单位经营收入等以外的各项收入。</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 w:hAnsi="仿宋" w:eastAsia="仿宋" w:cs="仿宋"/>
          <w:sz w:val="32"/>
          <w:szCs w:val="32"/>
          <w:lang w:bidi="ar-SA"/>
        </w:rPr>
      </w:pPr>
      <w:r>
        <w:rPr>
          <w:rFonts w:hint="eastAsia" w:ascii="楷体" w:hAnsi="楷体" w:eastAsia="楷体" w:cs="楷体"/>
          <w:b/>
          <w:bCs/>
          <w:color w:val="000000"/>
          <w:kern w:val="0"/>
          <w:sz w:val="32"/>
          <w:szCs w:val="32"/>
        </w:rPr>
        <w:t>（八）使用非财政拨款结余：</w:t>
      </w:r>
      <w:r>
        <w:rPr>
          <w:rFonts w:hint="eastAsia" w:ascii="仿宋" w:hAnsi="仿宋" w:eastAsia="仿宋" w:cs="仿宋"/>
          <w:sz w:val="32"/>
          <w:szCs w:val="32"/>
          <w:lang w:bidi="ar-SA"/>
        </w:rPr>
        <w:t>填列历年滚存的非限定用途的非统计财政拨款结余弥补202</w:t>
      </w:r>
      <w:r>
        <w:rPr>
          <w:rFonts w:hint="eastAsia" w:ascii="仿宋" w:hAnsi="仿宋" w:eastAsia="仿宋" w:cs="仿宋"/>
          <w:sz w:val="32"/>
          <w:szCs w:val="32"/>
          <w:lang w:val="en-US" w:eastAsia="zh-CN" w:bidi="ar-SA"/>
        </w:rPr>
        <w:t>3</w:t>
      </w:r>
      <w:r>
        <w:rPr>
          <w:rFonts w:hint="eastAsia" w:ascii="仿宋" w:hAnsi="仿宋" w:eastAsia="仿宋" w:cs="仿宋"/>
          <w:sz w:val="32"/>
          <w:szCs w:val="32"/>
          <w:lang w:bidi="ar-SA"/>
        </w:rPr>
        <w:t>年收支差额的数额。</w:t>
      </w:r>
    </w:p>
    <w:p>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楷体" w:hAnsi="楷体" w:eastAsia="楷体" w:cs="楷体"/>
          <w:b/>
          <w:bCs/>
          <w:sz w:val="32"/>
          <w:szCs w:val="32"/>
          <w:lang w:bidi="ar-SA"/>
        </w:rPr>
      </w:pPr>
      <w:r>
        <w:rPr>
          <w:rFonts w:hint="eastAsia" w:ascii="楷体" w:hAnsi="楷体" w:eastAsia="楷体" w:cs="楷体"/>
          <w:b/>
          <w:bCs/>
          <w:color w:val="000000"/>
          <w:kern w:val="0"/>
          <w:sz w:val="32"/>
          <w:szCs w:val="32"/>
        </w:rPr>
        <w:t>（九）上年结转和结余：</w:t>
      </w:r>
      <w:r>
        <w:rPr>
          <w:rFonts w:hint="eastAsia" w:ascii="仿宋" w:hAnsi="仿宋" w:eastAsia="仿宋" w:cs="仿宋"/>
          <w:sz w:val="32"/>
          <w:szCs w:val="32"/>
          <w:lang w:bidi="ar-SA"/>
        </w:rPr>
        <w:t>填列202</w:t>
      </w:r>
      <w:r>
        <w:rPr>
          <w:rFonts w:hint="eastAsia" w:ascii="仿宋" w:hAnsi="仿宋" w:eastAsia="仿宋" w:cs="仿宋"/>
          <w:sz w:val="32"/>
          <w:szCs w:val="32"/>
          <w:lang w:val="en-US" w:eastAsia="zh-CN" w:bidi="ar-SA"/>
        </w:rPr>
        <w:t>2</w:t>
      </w:r>
      <w:r>
        <w:rPr>
          <w:rFonts w:hint="eastAsia" w:ascii="仿宋" w:hAnsi="仿宋" w:eastAsia="仿宋" w:cs="仿宋"/>
          <w:sz w:val="32"/>
          <w:szCs w:val="32"/>
          <w:lang w:bidi="ar-SA"/>
        </w:rPr>
        <w:t>年全部结转和结余的资金数，包括当年结转结余资金和历年滚存结转结余资金。</w:t>
      </w:r>
      <w:r>
        <w:rPr>
          <w:rFonts w:hint="eastAsia" w:ascii="楷体" w:hAnsi="楷体" w:eastAsia="楷体" w:cs="楷体"/>
          <w:b/>
          <w:bCs/>
          <w:sz w:val="32"/>
          <w:szCs w:val="32"/>
          <w:lang w:bidi="ar-SA"/>
        </w:rPr>
        <w:t>　</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rPr>
      </w:pPr>
      <w:r>
        <w:rPr>
          <w:rFonts w:hint="eastAsia" w:ascii="黑体" w:hAnsi="黑体" w:eastAsia="黑体" w:cs="黑体"/>
          <w:sz w:val="32"/>
          <w:szCs w:val="32"/>
        </w:rPr>
        <w:t>二、支出科目</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jc w:val="both"/>
        <w:textAlignment w:val="auto"/>
        <w:rPr>
          <w:rFonts w:hint="eastAsia" w:ascii="仿宋" w:hAnsi="仿宋" w:eastAsia="仿宋" w:cs="仿宋"/>
          <w:spacing w:val="-5"/>
          <w:w w:val="100"/>
          <w:sz w:val="32"/>
          <w:szCs w:val="32"/>
          <w:lang w:val="en-US" w:eastAsia="zh-CN"/>
        </w:rPr>
      </w:pPr>
      <w:r>
        <w:rPr>
          <w:rFonts w:hint="eastAsia" w:ascii="仿宋" w:hAnsi="仿宋" w:eastAsia="仿宋" w:cs="仿宋"/>
          <w:spacing w:val="-5"/>
          <w:w w:val="100"/>
          <w:sz w:val="32"/>
          <w:szCs w:val="32"/>
        </w:rPr>
        <w:t>（一）一般公共服务</w:t>
      </w:r>
      <w:r>
        <w:rPr>
          <w:rFonts w:hint="eastAsia" w:ascii="仿宋" w:hAnsi="仿宋" w:eastAsia="仿宋" w:cs="仿宋"/>
          <w:spacing w:val="-5"/>
          <w:w w:val="100"/>
          <w:sz w:val="32"/>
          <w:szCs w:val="32"/>
          <w:lang w:val="en-US" w:eastAsia="zh-CN"/>
        </w:rPr>
        <w:t>支出政府办公厅（室）及相关机构事务行政运行：反映行政单位（包括实行公务员管理的事业单位）的基本支出；</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jc w:val="both"/>
        <w:textAlignment w:val="auto"/>
        <w:rPr>
          <w:rFonts w:hint="default" w:ascii="仿宋" w:hAnsi="仿宋" w:eastAsia="仿宋" w:cs="仿宋"/>
          <w:spacing w:val="-5"/>
          <w:w w:val="100"/>
          <w:sz w:val="32"/>
          <w:szCs w:val="32"/>
          <w:lang w:val="en-US" w:eastAsia="zh-CN"/>
        </w:rPr>
      </w:pPr>
      <w:r>
        <w:rPr>
          <w:rFonts w:hint="eastAsia" w:ascii="仿宋" w:hAnsi="仿宋" w:eastAsia="仿宋" w:cs="仿宋"/>
          <w:spacing w:val="-5"/>
          <w:w w:val="100"/>
          <w:sz w:val="32"/>
          <w:szCs w:val="32"/>
          <w:lang w:val="en-US" w:eastAsia="zh-CN"/>
        </w:rPr>
        <w:t>（二）一般公共服务支出政府办公厅（室）及相关机构事务一般行政管理事务：反映行政单位（包括实行公务员管理的事业单位）未单独设置项级科目的其他项目支出；</w:t>
      </w:r>
    </w:p>
    <w:p>
      <w:pPr>
        <w:pStyle w:val="7"/>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jc w:val="both"/>
        <w:textAlignment w:val="auto"/>
        <w:rPr>
          <w:rFonts w:hint="default" w:ascii="仿宋" w:hAnsi="仿宋" w:eastAsia="仿宋" w:cs="仿宋"/>
          <w:spacing w:val="-5"/>
          <w:w w:val="100"/>
          <w:sz w:val="32"/>
          <w:szCs w:val="32"/>
          <w:lang w:val="en-US" w:eastAsia="zh-CN"/>
        </w:rPr>
        <w:sectPr>
          <w:pgSz w:w="11910" w:h="16840"/>
          <w:pgMar w:top="1600" w:right="1200" w:bottom="1460" w:left="1480" w:header="0" w:footer="1268" w:gutter="0"/>
          <w:pgNumType w:fmt="numberInDash"/>
          <w:cols w:space="720" w:num="1"/>
        </w:sectPr>
      </w:pPr>
      <w:r>
        <w:rPr>
          <w:rFonts w:hint="eastAsia" w:ascii="仿宋" w:hAnsi="仿宋" w:eastAsia="仿宋" w:cs="仿宋"/>
          <w:spacing w:val="-5"/>
          <w:w w:val="100"/>
          <w:sz w:val="32"/>
          <w:szCs w:val="32"/>
          <w:lang w:val="en-US" w:eastAsia="zh-CN"/>
        </w:rPr>
        <w:t>（三）一般公共服务支出政府办公厅（室）及相关机构事务政务公开审批：反映各级政府公开审批方面的支出。</w:t>
      </w:r>
    </w:p>
    <w:p>
      <w:pPr>
        <w:bidi w:val="0"/>
        <w:jc w:val="both"/>
        <w:rPr>
          <w:lang w:val="zh-CN" w:eastAsia="zh-CN"/>
        </w:rPr>
      </w:pPr>
      <w:bookmarkStart w:id="0" w:name="02.pdf"/>
      <w:bookmarkEnd w:id="0"/>
    </w:p>
    <w:sectPr>
      <w:footerReference r:id="rId5" w:type="default"/>
      <w:pgSz w:w="16840" w:h="11910" w:orient="landscape"/>
      <w:pgMar w:top="1280" w:right="1600" w:bottom="1300" w:left="1460"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- 23 -</w:t>
                          </w:r>
                          <w:r>
                            <w:rPr>
                              <w:rFonts w:hint="eastAsia"/>
                              <w:lang w:eastAsia="zh-CN"/>
                            </w:rP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UUHcoBAACb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rl5T4rjFiV++f7v8+HX5+ZUs&#10;X2aB+gA15t0FzEzDWz/g2sx+QGfmPaho8xcZEYyjvOervHJIRORH69V6XWFIYGy+ID57eB4ipHfS&#10;W5KNhkacX5GVnz5AGlPnlFzN+VttTJmhcX85EDN7WO597DFbadgPE6G9b8/Ip8fRN9ThplNi3jtU&#10;Nm/JbMTZ2M/GMUR96Moa5XoQ3hwTNlF6yxVG2Kkwzqywm/YrL8Wf95L18E9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AUUHcoBAACbAwAADgAAAAAAAAABACAAAAAeAQAAZHJzL2Uyb0Rv&#10;Yy54bWxQSwUGAAAAAAYABgBZAQAAWgUAAA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- 23 -</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1B702C"/>
    <w:multiLevelType w:val="singleLevel"/>
    <w:tmpl w:val="DA1B702C"/>
    <w:lvl w:ilvl="0" w:tentative="0">
      <w:start w:val="2"/>
      <w:numFmt w:val="chineseCount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1ZmY1OTYzYzljMWE3Y2Q5NzAxNmU3Y2VmZjJiNzMifQ=="/>
  </w:docVars>
  <w:rsids>
    <w:rsidRoot w:val="417E19F7"/>
    <w:rsid w:val="441D2332"/>
    <w:rsid w:val="76380554"/>
    <w:rsid w:val="7E5455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1"/>
    <w:pPr>
      <w:spacing w:before="58"/>
      <w:ind w:left="680" w:right="843"/>
      <w:jc w:val="center"/>
      <w:outlineLvl w:val="1"/>
    </w:pPr>
    <w:rPr>
      <w:rFonts w:ascii="宋体" w:hAnsi="宋体" w:eastAsia="宋体" w:cs="宋体"/>
      <w:sz w:val="44"/>
      <w:szCs w:val="44"/>
      <w:lang w:val="zh-CN" w:eastAsia="zh-CN" w:bidi="zh-CN"/>
    </w:rPr>
  </w:style>
  <w:style w:type="paragraph" w:styleId="5">
    <w:name w:val="heading 2"/>
    <w:basedOn w:val="1"/>
    <w:next w:val="1"/>
    <w:qFormat/>
    <w:uiPriority w:val="1"/>
    <w:pPr>
      <w:ind w:left="166"/>
      <w:outlineLvl w:val="2"/>
    </w:pPr>
    <w:rPr>
      <w:rFonts w:ascii="PMingLiU" w:hAnsi="PMingLiU" w:eastAsia="PMingLiU" w:cs="PMingLiU"/>
      <w:sz w:val="40"/>
      <w:szCs w:val="40"/>
      <w:lang w:val="zh-CN" w:eastAsia="zh-CN" w:bidi="zh-CN"/>
    </w:rPr>
  </w:style>
  <w:style w:type="paragraph" w:styleId="6">
    <w:name w:val="heading 3"/>
    <w:basedOn w:val="1"/>
    <w:next w:val="1"/>
    <w:qFormat/>
    <w:uiPriority w:val="1"/>
    <w:pPr>
      <w:ind w:left="751"/>
      <w:outlineLvl w:val="3"/>
    </w:pPr>
    <w:rPr>
      <w:rFonts w:ascii="微软雅黑" w:hAnsi="微软雅黑" w:eastAsia="微软雅黑" w:cs="微软雅黑"/>
      <w:b/>
      <w:bCs/>
      <w:sz w:val="32"/>
      <w:szCs w:val="32"/>
      <w:lang w:val="zh-CN" w:eastAsia="zh-CN" w:bidi="zh-CN"/>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0"/>
    <w:pPr>
      <w:spacing w:after="120"/>
      <w:ind w:left="420" w:leftChars="200"/>
    </w:pPr>
  </w:style>
  <w:style w:type="paragraph" w:styleId="7">
    <w:name w:val="Body Text"/>
    <w:basedOn w:val="1"/>
    <w:next w:val="1"/>
    <w:qFormat/>
    <w:uiPriority w:val="1"/>
    <w:rPr>
      <w:rFonts w:ascii="宋体" w:hAnsi="宋体" w:eastAsia="宋体" w:cs="宋体"/>
      <w:sz w:val="32"/>
      <w:szCs w:val="32"/>
      <w:lang w:val="zh-CN" w:eastAsia="zh-CN" w:bidi="zh-CN"/>
    </w:rPr>
  </w:style>
  <w:style w:type="paragraph" w:styleId="8">
    <w:name w:val="footer"/>
    <w:basedOn w:val="1"/>
    <w:qFormat/>
    <w:uiPriority w:val="0"/>
    <w:pPr>
      <w:tabs>
        <w:tab w:val="center" w:pos="4153"/>
        <w:tab w:val="right" w:pos="8306"/>
      </w:tabs>
      <w:snapToGrid w:val="0"/>
      <w:jc w:val="left"/>
    </w:pPr>
    <w:rPr>
      <w:sz w:val="18"/>
    </w:rPr>
  </w:style>
  <w:style w:type="paragraph" w:customStyle="1" w:styleId="11">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3431</Words>
  <Characters>3677</Characters>
  <Lines>0</Lines>
  <Paragraphs>0</Paragraphs>
  <TotalTime>5</TotalTime>
  <ScaleCrop>false</ScaleCrop>
  <LinksUpToDate>false</LinksUpToDate>
  <CharactersWithSpaces>3699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2023-02-10T05:34:00Z</dcterms:created>
  <dc:creator>Apone</dc:creator>
  <cp:lastModifiedBy>Apone</cp:lastModifiedBy>
  <cp:lastPrinted>2023-02-15T06:39:51Z</cp:lastPrinted>
  <dcterms:modified xsi:type="dcterms:W3CDTF">2023-02-15T07:07:06Z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0F597688F703454A9384C1B38BAFCD84</vt:lpwstr>
  </property>
</Properties>
</file>