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CF56D">
      <w:pPr>
        <w:keepNext w:val="0"/>
        <w:keepLines w:val="0"/>
        <w:pageBreakBefore w:val="0"/>
        <w:widowControl w:val="0"/>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w:t>
      </w:r>
    </w:p>
    <w:p w14:paraId="1AACECB3">
      <w:pPr>
        <w:wordWrap w:val="0"/>
        <w:topLinePunct/>
        <w:spacing w:line="560" w:lineRule="exact"/>
        <w:jc w:val="both"/>
        <w:rPr>
          <w:rFonts w:hint="default" w:ascii="方正小标宋简体" w:hAnsi="方正小标宋简体" w:eastAsia="方正小标宋简体" w:cs="方正小标宋简体"/>
          <w:snapToGrid w:val="0"/>
          <w:color w:val="000000"/>
          <w:kern w:val="0"/>
          <w:sz w:val="44"/>
          <w:szCs w:val="44"/>
          <w:lang w:val="en-US" w:eastAsia="zh-CN"/>
        </w:rPr>
      </w:pPr>
    </w:p>
    <w:p w14:paraId="0C1547BE">
      <w:pPr>
        <w:wordWrap w:val="0"/>
        <w:topLinePunct/>
        <w:spacing w:line="560" w:lineRule="exact"/>
        <w:jc w:val="center"/>
        <w:rPr>
          <w:rFonts w:ascii="Times New Roman Regular" w:hAnsi="Times New Roman Regular" w:eastAsia="方正小标宋_GBK" w:cs="Times New Roman Regular"/>
          <w:snapToGrid w:val="0"/>
          <w:color w:val="000000"/>
          <w:kern w:val="0"/>
          <w:sz w:val="44"/>
          <w:szCs w:val="44"/>
          <w:lang w:val="zh-CN"/>
        </w:rPr>
      </w:pPr>
      <w:r>
        <w:rPr>
          <w:rFonts w:hint="eastAsia" w:ascii="方正小标宋简体" w:hAnsi="方正小标宋简体" w:eastAsia="方正小标宋简体" w:cs="方正小标宋简体"/>
          <w:snapToGrid w:val="0"/>
          <w:color w:val="000000"/>
          <w:kern w:val="0"/>
          <w:sz w:val="44"/>
          <w:szCs w:val="44"/>
        </w:rPr>
        <w:t>红谷滩区</w:t>
      </w:r>
      <w:bookmarkStart w:id="0" w:name="OLE_LINK8"/>
      <w:r>
        <w:rPr>
          <w:rFonts w:hint="eastAsia" w:ascii="方正小标宋简体" w:hAnsi="方正小标宋简体" w:eastAsia="方正小标宋简体" w:cs="方正小标宋简体"/>
          <w:snapToGrid w:val="0"/>
          <w:color w:val="000000"/>
          <w:kern w:val="0"/>
          <w:sz w:val="44"/>
          <w:szCs w:val="44"/>
          <w:lang w:val="en-US" w:eastAsia="zh-CN"/>
        </w:rPr>
        <w:t>算力券（</w:t>
      </w:r>
      <w:r>
        <w:rPr>
          <w:rFonts w:hint="eastAsia" w:ascii="方正小标宋简体" w:hAnsi="方正小标宋简体" w:eastAsia="方正小标宋简体" w:cs="方正小标宋简体"/>
          <w:snapToGrid w:val="0"/>
          <w:color w:val="000000"/>
          <w:kern w:val="0"/>
          <w:sz w:val="44"/>
          <w:szCs w:val="44"/>
        </w:rPr>
        <w:t>Token券</w:t>
      </w:r>
      <w:r>
        <w:rPr>
          <w:rFonts w:hint="eastAsia" w:ascii="方正小标宋简体" w:hAnsi="方正小标宋简体" w:eastAsia="方正小标宋简体" w:cs="方正小标宋简体"/>
          <w:snapToGrid w:val="0"/>
          <w:color w:val="000000"/>
          <w:kern w:val="0"/>
          <w:sz w:val="44"/>
          <w:szCs w:val="44"/>
          <w:lang w:val="zh-CN"/>
        </w:rPr>
        <w:t>）</w:t>
      </w:r>
      <w:r>
        <w:rPr>
          <w:rFonts w:hint="eastAsia" w:ascii="方正小标宋简体" w:hAnsi="方正小标宋简体" w:eastAsia="方正小标宋简体" w:cs="方正小标宋简体"/>
          <w:snapToGrid w:val="0"/>
          <w:color w:val="000000"/>
          <w:kern w:val="0"/>
          <w:sz w:val="44"/>
          <w:szCs w:val="44"/>
        </w:rPr>
        <w:t>实施方案</w:t>
      </w:r>
      <w:bookmarkEnd w:id="0"/>
    </w:p>
    <w:p w14:paraId="46FDBD36">
      <w:pPr>
        <w:wordWrap w:val="0"/>
        <w:topLinePunct/>
        <w:spacing w:line="560" w:lineRule="exact"/>
        <w:jc w:val="center"/>
        <w:rPr>
          <w:rFonts w:hint="eastAsia" w:ascii="楷体_GB2312" w:hAnsi="楷体_GB2312" w:eastAsia="楷体_GB2312" w:cs="楷体_GB2312"/>
          <w:snapToGrid w:val="0"/>
          <w:color w:val="000000"/>
          <w:kern w:val="0"/>
          <w:sz w:val="32"/>
          <w:szCs w:val="32"/>
        </w:rPr>
      </w:pPr>
      <w:r>
        <w:rPr>
          <w:rFonts w:hint="eastAsia" w:ascii="楷体_GB2312" w:hAnsi="楷体_GB2312" w:eastAsia="楷体_GB2312" w:cs="楷体_GB2312"/>
          <w:snapToGrid w:val="0"/>
          <w:color w:val="000000"/>
          <w:kern w:val="0"/>
          <w:sz w:val="32"/>
          <w:szCs w:val="32"/>
        </w:rPr>
        <w:t>（</w:t>
      </w:r>
      <w:r>
        <w:rPr>
          <w:rFonts w:hint="eastAsia" w:ascii="楷体_GB2312" w:hAnsi="楷体_GB2312" w:eastAsia="楷体_GB2312" w:cs="楷体_GB2312"/>
          <w:snapToGrid w:val="0"/>
          <w:color w:val="000000"/>
          <w:kern w:val="0"/>
          <w:sz w:val="32"/>
          <w:szCs w:val="32"/>
          <w:lang w:val="en-US" w:eastAsia="zh-CN"/>
        </w:rPr>
        <w:t>征求意见稿</w:t>
      </w:r>
      <w:r>
        <w:rPr>
          <w:rFonts w:hint="eastAsia" w:ascii="楷体_GB2312" w:hAnsi="楷体_GB2312" w:eastAsia="楷体_GB2312" w:cs="楷体_GB2312"/>
          <w:snapToGrid w:val="0"/>
          <w:color w:val="000000"/>
          <w:kern w:val="0"/>
          <w:sz w:val="32"/>
          <w:szCs w:val="32"/>
        </w:rPr>
        <w:t>）</w:t>
      </w:r>
    </w:p>
    <w:p w14:paraId="335C5205">
      <w:pPr>
        <w:wordWrap w:val="0"/>
        <w:topLinePunct/>
        <w:spacing w:line="560" w:lineRule="exact"/>
        <w:ind w:firstLine="640" w:firstLineChars="200"/>
        <w:jc w:val="left"/>
        <w:rPr>
          <w:rFonts w:ascii="Times New Roman Regular" w:hAnsi="Times New Roman Regular" w:cs="Times New Roman Regular"/>
          <w:sz w:val="32"/>
          <w:szCs w:val="32"/>
        </w:rPr>
      </w:pPr>
    </w:p>
    <w:p w14:paraId="1BF1FAF3">
      <w:pPr>
        <w:keepNext w:val="0"/>
        <w:keepLines w:val="0"/>
        <w:pageBreakBefore w:val="0"/>
        <w:widowControl w:val="0"/>
        <w:kinsoku/>
        <w:wordWrap w:val="0"/>
        <w:overflowPunct/>
        <w:topLinePunct/>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为贯彻落实《关于融入全国一体化算力网推进全省算力高质量发展的若干措施》（赣发改数据〔2025〕 945 号）、《江西省算力券（数据券）管理办法》（赣发改数据规〔2026〕433号）等文件精神，进一步降低企业经营成本，激发算力应用需求，助力企业数字化转型，促进全区数字经济与实体经济深度融合，结合我区实际，制定本实施方案。</w:t>
      </w:r>
    </w:p>
    <w:p w14:paraId="4EE12B6E">
      <w:pPr>
        <w:keepNext w:val="0"/>
        <w:keepLines w:val="0"/>
        <w:pageBreakBefore w:val="0"/>
        <w:widowControl w:val="0"/>
        <w:kinsoku/>
        <w:wordWrap w:val="0"/>
        <w:overflowPunct/>
        <w:topLinePunct/>
        <w:autoSpaceDE/>
        <w:autoSpaceDN/>
        <w:bidi w:val="0"/>
        <w:adjustRightInd/>
        <w:snapToGrid/>
        <w:spacing w:line="580" w:lineRule="exact"/>
        <w:ind w:firstLine="640" w:firstLineChars="20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支持标准</w:t>
      </w:r>
    </w:p>
    <w:p w14:paraId="62F93B25">
      <w:pPr>
        <w:keepNext w:val="0"/>
        <w:keepLines w:val="0"/>
        <w:pageBreakBefore w:val="0"/>
        <w:widowControl w:val="0"/>
        <w:kinsoku/>
        <w:wordWrap w:val="0"/>
        <w:overflowPunct/>
        <w:topLinePunct/>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年设置总额不超过600万元的算力券（Token券），其中，算力券不超过200万元，Token券不超过400万元。支持企业在非关联方平台租用算力或购买Token，开展大模型训练或推理、生成式人工智能应用、智能体搭建等活动，支持比例不高于实际支出的10%，每家企业当年兑现起付标准为1万元且兑现金额不超过50万元。</w:t>
      </w:r>
    </w:p>
    <w:p w14:paraId="135587B3">
      <w:pPr>
        <w:keepNext w:val="0"/>
        <w:keepLines w:val="0"/>
        <w:pageBreakBefore w:val="0"/>
        <w:widowControl w:val="0"/>
        <w:kinsoku/>
        <w:wordWrap w:val="0"/>
        <w:overflowPunct/>
        <w:topLinePunct/>
        <w:autoSpaceDE/>
        <w:autoSpaceDN/>
        <w:bidi w:val="0"/>
        <w:adjustRightInd/>
        <w:snapToGrid/>
        <w:spacing w:line="58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二、支持对象</w:t>
      </w:r>
    </w:p>
    <w:p w14:paraId="58E4E5FD">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申报主体为</w:t>
      </w:r>
      <w:bookmarkStart w:id="1" w:name="OLE_LINK10"/>
      <w:r>
        <w:rPr>
          <w:rFonts w:ascii="仿宋_GB2312" w:hAnsi="仿宋_GB2312" w:eastAsia="仿宋_GB2312" w:cs="仿宋_GB2312"/>
          <w:sz w:val="32"/>
          <w:szCs w:val="32"/>
        </w:rPr>
        <w:t>在红谷滩区</w:t>
      </w:r>
      <w:r>
        <w:rPr>
          <w:rFonts w:hint="eastAsia" w:ascii="仿宋_GB2312" w:hAnsi="仿宋_GB2312" w:eastAsia="仿宋_GB2312" w:cs="仿宋_GB2312"/>
          <w:sz w:val="32"/>
          <w:szCs w:val="32"/>
          <w:lang w:val="en-US" w:eastAsia="zh-CN"/>
        </w:rPr>
        <w:t>依法</w:t>
      </w:r>
      <w:r>
        <w:rPr>
          <w:rFonts w:ascii="仿宋_GB2312" w:hAnsi="仿宋_GB2312" w:eastAsia="仿宋_GB2312" w:cs="仿宋_GB2312"/>
          <w:sz w:val="32"/>
          <w:szCs w:val="32"/>
        </w:rPr>
        <w:t>开</w:t>
      </w:r>
      <w:r>
        <w:rPr>
          <w:rFonts w:hint="eastAsia" w:ascii="仿宋_GB2312" w:hAnsi="仿宋_GB2312" w:eastAsia="仿宋_GB2312" w:cs="仿宋_GB2312"/>
          <w:sz w:val="32"/>
          <w:szCs w:val="32"/>
        </w:rPr>
        <w:t>展经营活动</w:t>
      </w:r>
      <w:bookmarkEnd w:id="1"/>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并合法存续的企业；</w:t>
      </w:r>
    </w:p>
    <w:p w14:paraId="2CDB26B1">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（二）申报主体应当向区内已备案服务商调用大模型</w:t>
      </w:r>
      <w:r>
        <w:rPr>
          <w:rFonts w:hint="eastAsia" w:ascii="仿宋_GB2312" w:hAnsi="仿宋_GB2312" w:eastAsia="仿宋_GB2312" w:cs="仿宋_GB2312"/>
          <w:sz w:val="32"/>
          <w:szCs w:val="32"/>
          <w:lang w:val="en-US" w:eastAsia="zh-CN"/>
        </w:rPr>
        <w:t>或租用算力</w:t>
      </w:r>
      <w:r>
        <w:rPr>
          <w:rFonts w:hint="eastAsia" w:ascii="仿宋_GB2312" w:hAnsi="仿宋_GB2312" w:eastAsia="仿宋_GB2312" w:cs="仿宋_GB2312"/>
          <w:sz w:val="32"/>
          <w:szCs w:val="32"/>
        </w:rPr>
        <w:t>；</w:t>
      </w:r>
    </w:p>
    <w:p w14:paraId="31B3EB90">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Token券</w:t>
      </w:r>
      <w:r>
        <w:rPr>
          <w:rFonts w:hint="eastAsia" w:ascii="仿宋_GB2312" w:hAnsi="仿宋_GB2312" w:eastAsia="仿宋_GB2312" w:cs="仿宋_GB2312"/>
          <w:sz w:val="32"/>
          <w:szCs w:val="32"/>
        </w:rPr>
        <w:t>申报主体应当调用已通过国家网信部门备案的通用大模型</w:t>
      </w:r>
      <w:r>
        <w:rPr>
          <w:rFonts w:hint="eastAsia" w:ascii="仿宋_GB2312" w:hAnsi="仿宋_GB2312" w:eastAsia="仿宋_GB2312" w:cs="仿宋_GB2312"/>
          <w:sz w:val="32"/>
          <w:szCs w:val="32"/>
          <w:lang w:eastAsia="zh-CN"/>
        </w:rPr>
        <w:t>；</w:t>
      </w:r>
    </w:p>
    <w:p w14:paraId="1AAA233C">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申报主体与大模型或算力服务提供方之间不得存在关联关系，即不得为同一实际控制人控制，或存在直接或间接的控制关系、重大影响关系；</w:t>
      </w:r>
    </w:p>
    <w:p w14:paraId="1AE55A3A">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申报主体近3年内（成立时间不足3年的，自注册时间起）未被依法依规纳入严重失信主体名单或失信惩戒措施清单；</w:t>
      </w:r>
    </w:p>
    <w:p w14:paraId="2C186FA1">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ascii="仿宋_GB2312" w:hAnsi="仿宋_GB2312" w:eastAsia="仿宋_GB2312" w:cs="仿宋_GB2312"/>
          <w:sz w:val="32"/>
          <w:szCs w:val="32"/>
        </w:rPr>
        <w:t>）符合法律法规、数据安全等相关政策要求的其他条件。</w:t>
      </w:r>
    </w:p>
    <w:p w14:paraId="377F9507">
      <w:pPr>
        <w:keepNext w:val="0"/>
        <w:keepLines w:val="0"/>
        <w:pageBreakBefore w:val="0"/>
        <w:widowControl w:val="0"/>
        <w:kinsoku/>
        <w:overflowPunct/>
        <w:autoSpaceDE/>
        <w:autoSpaceDN/>
        <w:bidi w:val="0"/>
        <w:adjustRightInd/>
        <w:snapToGrid/>
        <w:spacing w:line="580" w:lineRule="exact"/>
        <w:ind w:firstLine="640" w:firstLineChars="200"/>
        <w:jc w:val="left"/>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lang w:val="en-US" w:eastAsia="zh-CN"/>
        </w:rPr>
        <w:t>三</w:t>
      </w:r>
      <w:r>
        <w:rPr>
          <w:rFonts w:hint="eastAsia" w:ascii="黑体" w:hAnsi="黑体" w:eastAsia="黑体" w:cs="黑体"/>
          <w:snapToGrid w:val="0"/>
          <w:kern w:val="0"/>
          <w:sz w:val="32"/>
          <w:szCs w:val="32"/>
        </w:rPr>
        <w:t>、支持方式</w:t>
      </w:r>
    </w:p>
    <w:p w14:paraId="3356DEFE">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算力券（Token券）原则上每年组织实施1次，实行年度总量控制、用完为止。若当年审核通过金额未超出年度资金额度，按最高支持比例进行兑现；若当年审核通过金额超出年度资金额度，将适当调整支持比例进行兑现；具体支持方向、支持方式、支持比例、兑现金额等可综合考虑产业导向、实施成效等因素，实行年度调整。</w:t>
      </w:r>
    </w:p>
    <w:p w14:paraId="34D86DD9">
      <w:pPr>
        <w:keepNext w:val="0"/>
        <w:keepLines w:val="0"/>
        <w:pageBreakBefore w:val="0"/>
        <w:widowControl w:val="0"/>
        <w:kinsoku/>
        <w:overflowPunct/>
        <w:autoSpaceDE/>
        <w:autoSpaceDN/>
        <w:bidi w:val="0"/>
        <w:adjustRightInd/>
        <w:snapToGrid/>
        <w:spacing w:line="580" w:lineRule="exact"/>
        <w:ind w:firstLine="640" w:firstLineChars="200"/>
        <w:jc w:val="left"/>
        <w:textAlignment w:val="auto"/>
        <w:rPr>
          <w:rFonts w:hint="eastAsia" w:ascii="黑体" w:hAnsi="黑体" w:eastAsia="黑体" w:cs="黑体"/>
          <w:snapToGrid w:val="0"/>
          <w:kern w:val="0"/>
          <w:sz w:val="32"/>
          <w:szCs w:val="32"/>
          <w:lang w:val="en-US" w:eastAsia="zh-CN"/>
        </w:rPr>
      </w:pPr>
      <w:r>
        <w:rPr>
          <w:rFonts w:hint="eastAsia" w:ascii="黑体" w:hAnsi="黑体" w:eastAsia="黑体" w:cs="黑体"/>
          <w:snapToGrid w:val="0"/>
          <w:kern w:val="0"/>
          <w:sz w:val="32"/>
          <w:szCs w:val="32"/>
          <w:lang w:val="en-US" w:eastAsia="zh-CN"/>
        </w:rPr>
        <w:t>四、服务商备案</w:t>
      </w:r>
    </w:p>
    <w:p w14:paraId="25345B79">
      <w:pPr>
        <w:keepNext w:val="0"/>
        <w:keepLines w:val="0"/>
        <w:pageBreakBefore w:val="0"/>
        <w:widowControl w:val="0"/>
        <w:kinsoku/>
        <w:overflowPunct/>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snapToGrid w:val="0"/>
          <w:kern w:val="0"/>
          <w:sz w:val="32"/>
          <w:szCs w:val="32"/>
          <w:lang w:val="en-US" w:eastAsia="zh-CN"/>
        </w:rPr>
      </w:pPr>
      <w:r>
        <w:rPr>
          <w:rFonts w:hint="eastAsia" w:ascii="楷体_GB2312" w:hAnsi="楷体_GB2312" w:eastAsia="楷体_GB2312" w:cs="楷体_GB2312"/>
          <w:b/>
          <w:bCs/>
          <w:snapToGrid w:val="0"/>
          <w:kern w:val="0"/>
          <w:sz w:val="32"/>
          <w:szCs w:val="32"/>
          <w:lang w:val="en-US" w:eastAsia="zh-CN"/>
        </w:rPr>
        <w:t>（一）服务商基本条件</w:t>
      </w:r>
    </w:p>
    <w:p w14:paraId="0CD67118">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1.算力服务商基本条件</w:t>
      </w:r>
    </w:p>
    <w:p w14:paraId="0CABF5CF">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（1）在红谷滩区依法开展经营活动，并合法存续的企业。运营和财务情况良好，近三年无不良信用记录，财务会计制度健全，无重大违法行为。</w:t>
      </w:r>
    </w:p>
    <w:p w14:paraId="5C880E74">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（2）自建总算力规模不低于50P，算力中心到红谷滩区时延低、稳定性强，算力硬件、网络、供电、运维等配套设施完备，可实现7×24小时稳定运行。</w:t>
      </w:r>
    </w:p>
    <w:p w14:paraId="1476E95F">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（3）具有较强的技术研发和服务能力，在红谷滩区设有能提供长期、稳定服务的常驻专业团队，具备对外提供算力租赁服务的能力。</w:t>
      </w:r>
    </w:p>
    <w:p w14:paraId="77E5C380">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4）应当具备算力综合服务平台，能够为企业提供算力资源管理、作业调度、用量监测、费用结算等服务，平台应具备服务全流程监控能力，包括但不限于算力资源使用率实时统计、作业状态追踪、异常告警等功能，并能够按照区主管部门要求开放数据接口，实现交易数据的自动归集和报送。同时，支持红谷滩区算力接入。</w:t>
      </w:r>
    </w:p>
    <w:p w14:paraId="5FBB12E4">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2.Token服务商基本条件</w:t>
      </w:r>
    </w:p>
    <w:p w14:paraId="23AA8AF7">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（1）在红谷滩区依法开展经营活动，并合法存续的企业。运营和财务情况良好，近三年无不良信用记录，财务会计制度健全，无重大违法行为。</w:t>
      </w:r>
    </w:p>
    <w:p w14:paraId="72FFAA29">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（2）申报主体应当具备完善的Token服务技术架构，可实现7×24小时稳定运行。</w:t>
      </w:r>
    </w:p>
    <w:p w14:paraId="14126E1B">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（3）申报主体应当具有较强的技术研发和服务能力，在红谷滩区设有能提供长期、稳定服务的常驻专业团队，具备对外提供Token服务的能力。</w:t>
      </w:r>
    </w:p>
    <w:p w14:paraId="3458F7E1">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（4）申报主体应当持有通过国家网信办备案的通用大模型运营权或获得该备案大模型官方授权。</w:t>
      </w:r>
    </w:p>
    <w:p w14:paraId="116A57BE">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应当具备Token综合服务平台，能够为企业提供Token调用、用量监测、费用结算等服务，平台应具备服务全流程监控能力，包括但不限于Token消耗实时统计、调用日志记录、异常流量告警等功能，并能够按照区主管部门要求开放数据接口，实现交易数据的自动归集和报送。同时，支持红谷滩区企业大模型服务接入。</w:t>
      </w:r>
    </w:p>
    <w:p w14:paraId="56686912">
      <w:pPr>
        <w:keepNext w:val="0"/>
        <w:keepLines w:val="0"/>
        <w:pageBreakBefore w:val="0"/>
        <w:widowControl w:val="0"/>
        <w:kinsoku/>
        <w:overflowPunct/>
        <w:autoSpaceDE/>
        <w:autoSpaceDN/>
        <w:bidi w:val="0"/>
        <w:adjustRightInd/>
        <w:snapToGrid/>
        <w:spacing w:line="58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napToGrid w:val="0"/>
          <w:kern w:val="0"/>
          <w:sz w:val="32"/>
          <w:szCs w:val="32"/>
          <w:lang w:val="en-US" w:eastAsia="zh-CN"/>
        </w:rPr>
        <w:t>（二）服务商备案流程</w:t>
      </w:r>
    </w:p>
    <w:p w14:paraId="3F5A8C38">
      <w:pPr>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算力券（Token券）服务商备案采取公开征集方式，由区</w:t>
      </w:r>
      <w:r>
        <w:rPr>
          <w:rFonts w:hint="eastAsia" w:ascii="仿宋_GB2312" w:hAnsi="仿宋_GB2312" w:eastAsia="仿宋_GB2312" w:cs="仿宋_GB2312"/>
          <w:sz w:val="32"/>
          <w:szCs w:val="32"/>
          <w:lang w:val="en-US" w:eastAsia="zh-CN"/>
        </w:rPr>
        <w:t>政数</w:t>
      </w:r>
      <w:r>
        <w:rPr>
          <w:rFonts w:hint="default" w:ascii="仿宋_GB2312" w:hAnsi="仿宋_GB2312" w:eastAsia="仿宋_GB2312" w:cs="仿宋_GB2312"/>
          <w:sz w:val="32"/>
          <w:szCs w:val="32"/>
          <w:lang w:val="en-US" w:eastAsia="zh-CN"/>
        </w:rPr>
        <w:t>局面向社会公开发布征集通知，明确申报条件、评审标准和入库程序。申报截止后，委托第三方专业机构组织专家对申报主体的技术能力、合规资质、本地服务能力等进行独立评审，出具评审意见。评审结果</w:t>
      </w:r>
      <w:r>
        <w:rPr>
          <w:rFonts w:hint="eastAsia" w:ascii="仿宋_GB2312" w:hAnsi="仿宋_GB2312" w:eastAsia="仿宋_GB2312" w:cs="仿宋_GB2312"/>
          <w:sz w:val="32"/>
          <w:szCs w:val="32"/>
          <w:lang w:val="en-US" w:eastAsia="zh-CN"/>
        </w:rPr>
        <w:t>经征求区科工局、区财政局意见后，上报区政府审批</w:t>
      </w:r>
      <w:r>
        <w:rPr>
          <w:rFonts w:hint="default" w:ascii="仿宋_GB2312" w:hAnsi="仿宋_GB2312" w:eastAsia="仿宋_GB2312" w:cs="仿宋_GB2312"/>
          <w:sz w:val="32"/>
          <w:szCs w:val="32"/>
          <w:lang w:val="en-US" w:eastAsia="zh-CN"/>
        </w:rPr>
        <w:t>，形成备案服务商名单并向社会公示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公示期限为5个工作日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公示无异议的申报单位，认定为备案服务商</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备案服务商名单实行动态管理，定期复核，不符合条件的予以退出。</w:t>
      </w:r>
    </w:p>
    <w:p w14:paraId="0FD8C351">
      <w:pPr>
        <w:keepNext w:val="0"/>
        <w:keepLines w:val="0"/>
        <w:pageBreakBefore w:val="0"/>
        <w:widowControl w:val="0"/>
        <w:kinsoku/>
        <w:overflowPunct/>
        <w:autoSpaceDE/>
        <w:autoSpaceDN/>
        <w:bidi w:val="0"/>
        <w:adjustRightInd/>
        <w:snapToGrid/>
        <w:spacing w:line="580" w:lineRule="exact"/>
        <w:ind w:firstLine="640" w:firstLineChars="200"/>
        <w:jc w:val="left"/>
        <w:textAlignment w:val="auto"/>
        <w:rPr>
          <w:rFonts w:hint="eastAsia" w:ascii="黑体" w:hAnsi="黑体" w:eastAsia="黑体" w:cs="黑体"/>
          <w:snapToGrid w:val="0"/>
          <w:kern w:val="0"/>
          <w:sz w:val="32"/>
          <w:szCs w:val="32"/>
          <w:lang w:val="zh-CN"/>
        </w:rPr>
      </w:pPr>
      <w:r>
        <w:rPr>
          <w:rFonts w:hint="eastAsia" w:ascii="黑体" w:hAnsi="黑体" w:eastAsia="黑体" w:cs="黑体"/>
          <w:snapToGrid w:val="0"/>
          <w:kern w:val="0"/>
          <w:sz w:val="32"/>
          <w:szCs w:val="32"/>
          <w:lang w:val="en-US" w:eastAsia="zh-CN"/>
        </w:rPr>
        <w:t>五</w:t>
      </w:r>
      <w:r>
        <w:rPr>
          <w:rFonts w:hint="eastAsia" w:ascii="黑体" w:hAnsi="黑体" w:eastAsia="黑体" w:cs="黑体"/>
          <w:snapToGrid w:val="0"/>
          <w:kern w:val="0"/>
          <w:sz w:val="32"/>
          <w:szCs w:val="32"/>
          <w:lang w:val="zh-CN"/>
        </w:rPr>
        <w:t>、</w:t>
      </w:r>
      <w:r>
        <w:rPr>
          <w:rFonts w:hint="eastAsia" w:ascii="黑体" w:hAnsi="黑体" w:eastAsia="黑体" w:cs="黑体"/>
          <w:snapToGrid w:val="0"/>
          <w:kern w:val="0"/>
          <w:sz w:val="32"/>
          <w:szCs w:val="32"/>
          <w:lang w:val="en-US" w:eastAsia="zh-CN"/>
        </w:rPr>
        <w:t>申报</w:t>
      </w:r>
      <w:r>
        <w:rPr>
          <w:rFonts w:hint="eastAsia" w:ascii="黑体" w:hAnsi="黑体" w:eastAsia="黑体" w:cs="黑体"/>
          <w:snapToGrid w:val="0"/>
          <w:kern w:val="0"/>
          <w:sz w:val="32"/>
          <w:szCs w:val="32"/>
          <w:lang w:val="zh-CN"/>
        </w:rPr>
        <w:t>和兑付流程</w:t>
      </w:r>
    </w:p>
    <w:p w14:paraId="7E1586FC">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1.线上申领。</w:t>
      </w:r>
      <w:r>
        <w:rPr>
          <w:rFonts w:ascii="仿宋_GB2312" w:hAnsi="仿宋_GB2312" w:eastAsia="仿宋_GB2312" w:cs="仿宋_GB2312"/>
          <w:sz w:val="32"/>
          <w:szCs w:val="32"/>
          <w:lang w:val="zh-CN"/>
        </w:rPr>
        <w:t>每年度</w:t>
      </w:r>
      <w:r>
        <w:rPr>
          <w:rFonts w:hint="eastAsia" w:ascii="仿宋_GB2312" w:hAnsi="仿宋_GB2312" w:eastAsia="仿宋_GB2312" w:cs="仿宋_GB2312"/>
          <w:sz w:val="32"/>
          <w:szCs w:val="32"/>
          <w:lang w:val="en-US" w:eastAsia="zh-CN"/>
        </w:rPr>
        <w:t>备案服务商</w:t>
      </w:r>
      <w:r>
        <w:rPr>
          <w:rFonts w:ascii="仿宋_GB2312" w:hAnsi="仿宋_GB2312" w:eastAsia="仿宋_GB2312" w:cs="仿宋_GB2312"/>
          <w:sz w:val="32"/>
          <w:szCs w:val="32"/>
          <w:lang w:val="zh-CN"/>
        </w:rPr>
        <w:t>在指定平台发布当年可用</w:t>
      </w:r>
      <w:r>
        <w:rPr>
          <w:rFonts w:hint="eastAsia" w:ascii="仿宋_GB2312" w:hAnsi="仿宋_GB2312" w:eastAsia="仿宋_GB2312" w:cs="仿宋_GB2312"/>
          <w:sz w:val="32"/>
          <w:szCs w:val="32"/>
          <w:lang w:val="zh-CN"/>
        </w:rPr>
        <w:t>算力券（Token券）</w:t>
      </w:r>
      <w:r>
        <w:rPr>
          <w:rFonts w:ascii="仿宋_GB2312" w:hAnsi="仿宋_GB2312" w:eastAsia="仿宋_GB2312" w:cs="仿宋_GB2312"/>
          <w:sz w:val="32"/>
          <w:szCs w:val="32"/>
          <w:lang w:val="zh-CN"/>
        </w:rPr>
        <w:t>额度</w:t>
      </w:r>
      <w:r>
        <w:rPr>
          <w:rFonts w:hint="eastAsia" w:ascii="仿宋_GB2312" w:hAnsi="仿宋_GB2312" w:eastAsia="仿宋_GB2312" w:cs="仿宋_GB2312"/>
          <w:sz w:val="32"/>
          <w:szCs w:val="32"/>
          <w:lang w:val="zh-CN"/>
        </w:rPr>
        <w:t>，开放申领入口，申报单位在平台注册并完成</w:t>
      </w:r>
      <w:r>
        <w:rPr>
          <w:rFonts w:hint="eastAsia" w:ascii="仿宋_GB2312" w:hAnsi="仿宋_GB2312" w:eastAsia="仿宋_GB2312" w:cs="仿宋_GB2312"/>
          <w:sz w:val="32"/>
          <w:szCs w:val="32"/>
          <w:lang w:val="en-US" w:eastAsia="zh-CN"/>
        </w:rPr>
        <w:t>算力券（Token券）</w:t>
      </w:r>
      <w:r>
        <w:rPr>
          <w:rFonts w:hint="eastAsia" w:ascii="仿宋_GB2312" w:hAnsi="仿宋_GB2312" w:eastAsia="仿宋_GB2312" w:cs="仿宋_GB2312"/>
          <w:sz w:val="32"/>
          <w:szCs w:val="32"/>
          <w:lang w:val="zh-CN"/>
        </w:rPr>
        <w:t>申领。</w:t>
      </w:r>
    </w:p>
    <w:p w14:paraId="48427B50">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2.资格确定。</w:t>
      </w:r>
      <w:r>
        <w:rPr>
          <w:rFonts w:hint="eastAsia" w:ascii="仿宋_GB2312" w:hAnsi="仿宋_GB2312" w:eastAsia="仿宋_GB2312" w:cs="仿宋_GB2312"/>
          <w:sz w:val="32"/>
          <w:szCs w:val="32"/>
          <w:lang w:val="zh-CN"/>
        </w:rPr>
        <w:t>申报单位按要求上传申报表、</w:t>
      </w:r>
      <w:r>
        <w:rPr>
          <w:rFonts w:hint="eastAsia" w:ascii="仿宋_GB2312" w:hAnsi="仿宋_GB2312" w:eastAsia="仿宋_GB2312" w:cs="仿宋_GB2312"/>
          <w:sz w:val="32"/>
          <w:szCs w:val="32"/>
          <w:lang w:val="en-US" w:eastAsia="zh-CN"/>
        </w:rPr>
        <w:t>与备案服务商签订的</w:t>
      </w:r>
      <w:r>
        <w:rPr>
          <w:rFonts w:hint="eastAsia" w:ascii="仿宋_GB2312" w:hAnsi="仿宋_GB2312" w:eastAsia="仿宋_GB2312" w:cs="仿宋_GB2312"/>
          <w:sz w:val="32"/>
          <w:szCs w:val="32"/>
          <w:lang w:val="zh-CN"/>
        </w:rPr>
        <w:t>服务合同等佐证材料，</w:t>
      </w:r>
      <w:r>
        <w:rPr>
          <w:rFonts w:hint="eastAsia" w:ascii="仿宋_GB2312" w:hAnsi="仿宋_GB2312" w:eastAsia="仿宋_GB2312" w:cs="仿宋_GB2312"/>
          <w:sz w:val="32"/>
          <w:szCs w:val="32"/>
          <w:lang w:val="en-US" w:eastAsia="zh-CN"/>
        </w:rPr>
        <w:t>备案服务商</w:t>
      </w:r>
      <w:r>
        <w:rPr>
          <w:rFonts w:hint="eastAsia" w:ascii="仿宋_GB2312" w:hAnsi="仿宋_GB2312" w:eastAsia="仿宋_GB2312" w:cs="仿宋_GB2312"/>
          <w:sz w:val="32"/>
          <w:szCs w:val="32"/>
          <w:lang w:val="zh-CN"/>
        </w:rPr>
        <w:t>对材料齐全性、主体资质、交易真实性进行</w:t>
      </w:r>
      <w:bookmarkStart w:id="2" w:name="OLE_LINK1"/>
      <w:r>
        <w:rPr>
          <w:rFonts w:hint="eastAsia" w:ascii="仿宋_GB2312" w:hAnsi="仿宋_GB2312" w:eastAsia="仿宋_GB2312" w:cs="仿宋_GB2312"/>
          <w:sz w:val="32"/>
          <w:szCs w:val="32"/>
          <w:lang w:val="zh-CN"/>
        </w:rPr>
        <w:t>形式审核</w:t>
      </w:r>
      <w:bookmarkEnd w:id="2"/>
      <w:r>
        <w:rPr>
          <w:rFonts w:hint="eastAsia" w:ascii="仿宋_GB2312" w:hAnsi="仿宋_GB2312" w:eastAsia="仿宋_GB2312" w:cs="仿宋_GB2312"/>
          <w:sz w:val="32"/>
          <w:szCs w:val="32"/>
          <w:lang w:val="zh-CN"/>
        </w:rPr>
        <w:t>，确认企业</w:t>
      </w:r>
      <w:r>
        <w:rPr>
          <w:rFonts w:hint="eastAsia" w:ascii="仿宋_GB2312" w:hAnsi="仿宋_GB2312" w:eastAsia="仿宋_GB2312" w:cs="仿宋_GB2312"/>
          <w:sz w:val="32"/>
          <w:szCs w:val="32"/>
          <w:lang w:val="en-US" w:eastAsia="zh-CN"/>
        </w:rPr>
        <w:t>算力券（Token券）</w:t>
      </w:r>
      <w:r>
        <w:rPr>
          <w:rFonts w:hint="eastAsia" w:ascii="仿宋_GB2312" w:hAnsi="仿宋_GB2312" w:eastAsia="仿宋_GB2312" w:cs="仿宋_GB2312"/>
          <w:sz w:val="32"/>
          <w:szCs w:val="32"/>
          <w:lang w:val="zh-CN"/>
        </w:rPr>
        <w:t>补贴资格。</w:t>
      </w:r>
    </w:p>
    <w:p w14:paraId="77C03769">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3.</w:t>
      </w:r>
      <w:r>
        <w:rPr>
          <w:rFonts w:hint="eastAsia" w:ascii="仿宋_GB2312" w:hAnsi="仿宋_GB2312" w:eastAsia="仿宋_GB2312" w:cs="仿宋_GB2312"/>
          <w:b/>
          <w:bCs/>
          <w:sz w:val="32"/>
          <w:szCs w:val="32"/>
          <w:lang w:val="en-US" w:eastAsia="zh-CN"/>
        </w:rPr>
        <w:t>算力券（Token券）</w:t>
      </w:r>
      <w:r>
        <w:rPr>
          <w:rFonts w:hint="eastAsia" w:ascii="仿宋_GB2312" w:hAnsi="仿宋_GB2312" w:eastAsia="仿宋_GB2312" w:cs="仿宋_GB2312"/>
          <w:b/>
          <w:bCs/>
          <w:sz w:val="32"/>
          <w:szCs w:val="32"/>
          <w:lang w:val="zh-CN"/>
        </w:rPr>
        <w:t>使用。</w:t>
      </w:r>
      <w:r>
        <w:rPr>
          <w:rFonts w:hint="eastAsia" w:ascii="仿宋_GB2312" w:hAnsi="仿宋_GB2312" w:eastAsia="仿宋_GB2312" w:cs="仿宋_GB2312"/>
          <w:sz w:val="32"/>
          <w:szCs w:val="32"/>
          <w:lang w:val="zh-CN"/>
        </w:rPr>
        <w:t>申报单位</w:t>
      </w:r>
      <w:bookmarkStart w:id="3" w:name="OLE_LINK11"/>
      <w:r>
        <w:rPr>
          <w:rFonts w:hint="eastAsia" w:ascii="仿宋_GB2312" w:hAnsi="仿宋_GB2312" w:eastAsia="仿宋_GB2312" w:cs="仿宋_GB2312"/>
          <w:sz w:val="32"/>
          <w:szCs w:val="32"/>
          <w:lang w:val="zh-CN"/>
        </w:rPr>
        <w:t>按</w:t>
      </w:r>
      <w:r>
        <w:rPr>
          <w:rFonts w:hint="eastAsia" w:ascii="仿宋_GB2312" w:hAnsi="仿宋_GB2312" w:eastAsia="仿宋_GB2312" w:cs="仿宋_GB2312"/>
          <w:sz w:val="32"/>
          <w:szCs w:val="32"/>
          <w:lang w:val="en-US" w:eastAsia="zh-CN"/>
        </w:rPr>
        <w:t>与备案服务商签订的</w:t>
      </w:r>
      <w:r>
        <w:rPr>
          <w:rFonts w:hint="eastAsia" w:ascii="仿宋_GB2312" w:hAnsi="仿宋_GB2312" w:eastAsia="仿宋_GB2312" w:cs="仿宋_GB2312"/>
          <w:sz w:val="32"/>
          <w:szCs w:val="32"/>
          <w:lang w:val="zh-CN"/>
        </w:rPr>
        <w:t>服务合同</w:t>
      </w:r>
      <w:bookmarkEnd w:id="3"/>
      <w:r>
        <w:rPr>
          <w:rFonts w:hint="eastAsia" w:ascii="仿宋_GB2312" w:hAnsi="仿宋_GB2312" w:eastAsia="仿宋_GB2312" w:cs="仿宋_GB2312"/>
          <w:sz w:val="32"/>
          <w:szCs w:val="32"/>
          <w:lang w:val="zh-CN"/>
        </w:rPr>
        <w:t>完成实际使用。</w:t>
      </w:r>
      <w:r>
        <w:rPr>
          <w:rFonts w:hint="eastAsia" w:ascii="仿宋_GB2312" w:hAnsi="仿宋_GB2312" w:eastAsia="仿宋_GB2312" w:cs="仿宋_GB2312"/>
          <w:sz w:val="32"/>
          <w:szCs w:val="32"/>
          <w:lang w:val="en-US" w:eastAsia="zh-CN"/>
        </w:rPr>
        <w:t>算力券（Token券）</w:t>
      </w:r>
      <w:r>
        <w:rPr>
          <w:rFonts w:hint="eastAsia" w:ascii="仿宋_GB2312" w:hAnsi="仿宋_GB2312" w:eastAsia="仿宋_GB2312" w:cs="仿宋_GB2312"/>
          <w:sz w:val="32"/>
          <w:szCs w:val="32"/>
          <w:lang w:val="zh-CN"/>
        </w:rPr>
        <w:t>仅限于申报单位自身使用，不得转让、赠送、买卖、出借、重复使用。</w:t>
      </w:r>
    </w:p>
    <w:p w14:paraId="6F5F9DEE">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4.</w:t>
      </w:r>
      <w:r>
        <w:rPr>
          <w:rFonts w:hint="eastAsia"/>
        </w:rPr>
        <w:t xml:space="preserve"> </w:t>
      </w:r>
      <w:r>
        <w:rPr>
          <w:rFonts w:ascii="仿宋_GB2312" w:hAnsi="仿宋_GB2312" w:eastAsia="仿宋_GB2312" w:cs="仿宋_GB2312"/>
          <w:b/>
          <w:bCs/>
          <w:sz w:val="32"/>
          <w:szCs w:val="32"/>
          <w:lang w:val="zh-CN"/>
        </w:rPr>
        <w:t>第三方评审</w:t>
      </w:r>
      <w:r>
        <w:rPr>
          <w:rFonts w:hint="eastAsia" w:ascii="仿宋_GB2312" w:hAnsi="仿宋_GB2312" w:eastAsia="仿宋_GB2312" w:cs="仿宋_GB2312"/>
          <w:b/>
          <w:bCs/>
          <w:sz w:val="32"/>
          <w:szCs w:val="32"/>
          <w:lang w:val="zh-CN"/>
        </w:rPr>
        <w:t>。</w:t>
      </w:r>
      <w:r>
        <w:rPr>
          <w:rFonts w:hint="eastAsia" w:ascii="仿宋_GB2312" w:hAnsi="仿宋_GB2312" w:eastAsia="仿宋_GB2312" w:cs="仿宋_GB2312"/>
          <w:sz w:val="32"/>
          <w:szCs w:val="32"/>
          <w:lang w:val="en-US" w:eastAsia="zh-CN"/>
        </w:rPr>
        <w:t>区政数局根据备案服务商平台交易数据，</w:t>
      </w:r>
      <w:r>
        <w:rPr>
          <w:rFonts w:hint="eastAsia" w:ascii="仿宋_GB2312" w:hAnsi="仿宋_GB2312" w:eastAsia="仿宋_GB2312" w:cs="仿宋_GB2312"/>
          <w:sz w:val="32"/>
          <w:szCs w:val="32"/>
          <w:lang w:val="zh-CN"/>
        </w:rPr>
        <w:t>委</w:t>
      </w:r>
      <w:r>
        <w:rPr>
          <w:rFonts w:ascii="仿宋_GB2312" w:hAnsi="仿宋_GB2312" w:eastAsia="仿宋_GB2312" w:cs="仿宋_GB2312"/>
          <w:sz w:val="32"/>
          <w:szCs w:val="32"/>
          <w:lang w:val="zh-CN"/>
        </w:rPr>
        <w:t>托第三方专业服务机构组织评审，每年度评审1次。</w:t>
      </w:r>
    </w:p>
    <w:p w14:paraId="517F7331">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5.名单公示。</w:t>
      </w:r>
      <w:r>
        <w:rPr>
          <w:rFonts w:hint="eastAsia" w:ascii="仿宋_GB2312" w:hAnsi="仿宋_GB2312" w:eastAsia="仿宋_GB2312" w:cs="仿宋_GB2312"/>
          <w:sz w:val="32"/>
          <w:szCs w:val="32"/>
          <w:lang w:val="zh-CN"/>
        </w:rPr>
        <w:t>评审结果经征求</w:t>
      </w:r>
      <w:r>
        <w:rPr>
          <w:rFonts w:hint="eastAsia" w:ascii="仿宋_GB2312" w:hAnsi="仿宋_GB2312" w:eastAsia="仿宋_GB2312" w:cs="仿宋_GB2312"/>
          <w:sz w:val="32"/>
          <w:szCs w:val="32"/>
          <w:lang w:val="en-US" w:eastAsia="zh-CN"/>
        </w:rPr>
        <w:t>区科工局、</w:t>
      </w:r>
      <w:r>
        <w:rPr>
          <w:rFonts w:hint="eastAsia" w:ascii="仿宋_GB2312" w:hAnsi="仿宋_GB2312" w:eastAsia="仿宋_GB2312" w:cs="仿宋_GB2312"/>
          <w:sz w:val="32"/>
          <w:szCs w:val="32"/>
          <w:lang w:val="zh-CN"/>
        </w:rPr>
        <w:t>区财政局意见后，上报区政府审批，确定拟补贴名单，并在官方信息平台向社会公示，公示期限为5个工作日。</w:t>
      </w:r>
    </w:p>
    <w:p w14:paraId="255510EA">
      <w:pPr>
        <w:keepNext w:val="0"/>
        <w:keepLines w:val="0"/>
        <w:pageBreakBefore w:val="0"/>
        <w:widowControl w:val="0"/>
        <w:kinsoku/>
        <w:overflowPunct/>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6.资金兑现。</w:t>
      </w:r>
      <w:r>
        <w:rPr>
          <w:rFonts w:hint="eastAsia" w:ascii="仿宋_GB2312" w:hAnsi="仿宋_GB2312" w:eastAsia="仿宋_GB2312" w:cs="仿宋_GB2312"/>
          <w:sz w:val="32"/>
          <w:szCs w:val="32"/>
          <w:lang w:val="en-US" w:eastAsia="zh-CN"/>
        </w:rPr>
        <w:t>公示无异议后，区政数局通过“赣企通”平台向符合条件的申报单位拨付补贴资金。</w:t>
      </w:r>
    </w:p>
    <w:p w14:paraId="176C7C5B">
      <w:pPr>
        <w:pStyle w:val="4"/>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六、职责分工</w:t>
      </w:r>
    </w:p>
    <w:p w14:paraId="0DEB825E">
      <w:pPr>
        <w:pStyle w:val="3"/>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1.区政数局会同区科工局、区财政局共同研究制定算力券（Token券）支持政策。</w:t>
      </w:r>
    </w:p>
    <w:p w14:paraId="34475C07">
      <w:pPr>
        <w:pStyle w:val="3"/>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 区政数局负责审批算力（Token）服务商备案；算力券（Token券）的申请和兑现，编制发布兑现指南，组织开展申报，评估实施成效，实施全过程预算绩效管理。</w:t>
      </w:r>
    </w:p>
    <w:p w14:paraId="32AC8ED0">
      <w:pPr>
        <w:pStyle w:val="3"/>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3.区财政局负责算力券（Token券）资金预算管理和资金拨付。</w:t>
      </w:r>
    </w:p>
    <w:p w14:paraId="0A426AFC">
      <w:pPr>
        <w:pStyle w:val="4"/>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、有关事项</w:t>
      </w:r>
    </w:p>
    <w:p w14:paraId="572CAF3D">
      <w:pPr>
        <w:pStyle w:val="4"/>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1.加强对算力券（</w:t>
      </w:r>
      <w:r>
        <w:rPr>
          <w:rFonts w:hint="eastAsia" w:ascii="仿宋_GB2312" w:hAnsi="仿宋_GB2312" w:eastAsia="仿宋_GB2312" w:cs="仿宋_GB2312"/>
          <w:kern w:val="2"/>
          <w:sz w:val="32"/>
          <w:szCs w:val="32"/>
          <w:lang w:val="en-US" w:eastAsia="zh-CN" w:bidi="ar-SA"/>
        </w:rPr>
        <w:t>Token券</w:t>
      </w:r>
      <w:r>
        <w:rPr>
          <w:rFonts w:hint="eastAsia" w:ascii="仿宋_GB2312" w:hAnsi="仿宋_GB2312" w:eastAsia="仿宋_GB2312" w:cs="仿宋_GB2312"/>
          <w:sz w:val="32"/>
          <w:szCs w:val="32"/>
          <w:lang w:val="en-US" w:eastAsia="zh-CN"/>
        </w:rPr>
        <w:t>）组织申报兑现过程的风险识别、预警、防控。</w:t>
      </w:r>
      <w:r>
        <w:rPr>
          <w:rFonts w:hint="eastAsia" w:ascii="仿宋_GB2312" w:hAnsi="仿宋_GB2312" w:eastAsia="仿宋_GB2312" w:cs="仿宋_GB2312"/>
          <w:sz w:val="32"/>
          <w:szCs w:val="32"/>
          <w:lang w:val="zh-CN"/>
        </w:rPr>
        <w:t>申报主体是诚实守信责任人，如实填报申报材料，对申报材料的真实性作出承诺并承担相应责任，并自觉接受业务管理部门相关监督检查。对于弄虚作假、伪造成果、重复申报、涉嫌骗取资金的，一经查实，</w:t>
      </w:r>
      <w:r>
        <w:rPr>
          <w:rFonts w:hint="eastAsia" w:ascii="仿宋_GB2312" w:hAnsi="仿宋_GB2312" w:eastAsia="仿宋_GB2312" w:cs="仿宋_GB2312"/>
          <w:kern w:val="2"/>
          <w:sz w:val="32"/>
          <w:szCs w:val="32"/>
          <w:lang w:val="en-US" w:eastAsia="zh-CN" w:bidi="ar-SA"/>
        </w:rPr>
        <w:t>区政数局依法依规追回已兑现资金</w:t>
      </w:r>
      <w:r>
        <w:rPr>
          <w:rFonts w:hint="eastAsia" w:ascii="仿宋_GB2312" w:hAnsi="仿宋_GB2312" w:eastAsia="仿宋_GB2312" w:cs="仿宋_GB2312"/>
          <w:sz w:val="32"/>
          <w:szCs w:val="32"/>
          <w:lang w:val="zh-CN"/>
        </w:rPr>
        <w:t>，限制其申请算力券（</w:t>
      </w:r>
      <w:r>
        <w:rPr>
          <w:rFonts w:hint="eastAsia" w:ascii="仿宋_GB2312" w:hAnsi="仿宋_GB2312" w:eastAsia="仿宋_GB2312" w:cs="仿宋_GB2312"/>
          <w:kern w:val="2"/>
          <w:sz w:val="32"/>
          <w:szCs w:val="32"/>
          <w:lang w:val="en-US" w:eastAsia="zh-CN" w:bidi="ar-SA"/>
        </w:rPr>
        <w:t>Token券</w:t>
      </w:r>
      <w:r>
        <w:rPr>
          <w:rFonts w:hint="eastAsia" w:ascii="仿宋_GB2312" w:hAnsi="仿宋_GB2312" w:eastAsia="仿宋_GB2312" w:cs="仿宋_GB2312"/>
          <w:sz w:val="32"/>
          <w:szCs w:val="32"/>
          <w:lang w:val="zh-CN"/>
        </w:rPr>
        <w:t>）资金，涉及违法犯罪的，移送有关部门处理。对</w:t>
      </w:r>
      <w:r>
        <w:rPr>
          <w:rFonts w:hint="eastAsia" w:ascii="仿宋_GB2312" w:hAnsi="仿宋_GB2312" w:eastAsia="仿宋_GB2312" w:cs="仿宋_GB2312"/>
          <w:sz w:val="32"/>
          <w:szCs w:val="32"/>
          <w:lang w:val="en-US" w:eastAsia="zh-CN"/>
        </w:rPr>
        <w:t>备案服务商</w:t>
      </w:r>
      <w:r>
        <w:rPr>
          <w:rFonts w:hint="eastAsia" w:ascii="仿宋_GB2312" w:hAnsi="仿宋_GB2312" w:eastAsia="仿宋_GB2312" w:cs="仿宋_GB2312"/>
          <w:sz w:val="32"/>
          <w:szCs w:val="32"/>
          <w:lang w:val="zh-CN"/>
        </w:rPr>
        <w:t>提供虚假佐证材料的，取消</w:t>
      </w:r>
      <w:r>
        <w:rPr>
          <w:rFonts w:hint="eastAsia" w:ascii="仿宋_GB2312" w:hAnsi="仿宋_GB2312" w:eastAsia="仿宋_GB2312" w:cs="仿宋_GB2312"/>
          <w:sz w:val="32"/>
          <w:szCs w:val="32"/>
          <w:lang w:val="en-US" w:eastAsia="zh-CN"/>
        </w:rPr>
        <w:t>其服务</w:t>
      </w:r>
      <w:r>
        <w:rPr>
          <w:rFonts w:hint="eastAsia" w:ascii="仿宋_GB2312" w:hAnsi="仿宋_GB2312" w:eastAsia="仿宋_GB2312" w:cs="仿宋_GB2312"/>
          <w:sz w:val="32"/>
          <w:szCs w:val="32"/>
          <w:lang w:val="zh-CN"/>
        </w:rPr>
        <w:t>资</w:t>
      </w:r>
      <w:bookmarkStart w:id="4" w:name="_GoBack"/>
      <w:bookmarkEnd w:id="4"/>
      <w:r>
        <w:rPr>
          <w:rFonts w:hint="eastAsia" w:ascii="仿宋_GB2312" w:hAnsi="仿宋_GB2312" w:eastAsia="仿宋_GB2312" w:cs="仿宋_GB2312"/>
          <w:sz w:val="32"/>
          <w:szCs w:val="32"/>
          <w:lang w:val="zh-CN"/>
        </w:rPr>
        <w:t>格，并依法依规追究相关责任。</w:t>
      </w:r>
    </w:p>
    <w:p w14:paraId="4C7FB4AB">
      <w:pPr>
        <w:pStyle w:val="3"/>
        <w:ind w:firstLine="640" w:firstLineChars="200"/>
        <w:rPr>
          <w:rFonts w:hint="default" w:eastAsia="仿宋_GB2312"/>
          <w:lang w:val="en-US" w:eastAsia="zh-CN"/>
        </w:rPr>
      </w:pPr>
      <w:r>
        <w:rPr>
          <w:rFonts w:hint="eastAsia" w:ascii="仿宋_GB2312" w:hAnsi="仿宋_GB2312" w:eastAsia="仿宋_GB2312" w:cs="仿宋_GB2312"/>
          <w:sz w:val="32"/>
          <w:szCs w:val="32"/>
          <w:lang w:val="en-US" w:eastAsia="zh-CN"/>
        </w:rPr>
        <w:t>2.本政策与省级、市级算力券（Token券）政策可叠加享受。对同一事项，企业在获得省级、市级补助后，符合条件的仍可按本政策标准申请区级补助，区级补助金额不受省级、市级补助影响，不扣减、不抵消，实现省市区分级支持、叠加赋能。同一事项符合区内其他补助政策的，按“就高不重复”原则执行。</w:t>
      </w:r>
    </w:p>
    <w:p w14:paraId="59418FD0">
      <w:pPr>
        <w:pStyle w:val="4"/>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CESI仿宋-GB2312" w:hAnsi="CESI仿宋-GB2312" w:eastAsia="CESI仿宋-GB2312" w:cs="CESI仿宋-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本实施方案自印发之日起实施，由</w:t>
      </w:r>
      <w:r>
        <w:rPr>
          <w:rFonts w:hint="eastAsia" w:ascii="仿宋_GB2312" w:hAnsi="仿宋_GB2312" w:eastAsia="仿宋_GB2312" w:cs="仿宋_GB2312"/>
          <w:kern w:val="2"/>
          <w:sz w:val="32"/>
          <w:szCs w:val="32"/>
          <w:lang w:val="en-US" w:eastAsia="zh-CN" w:bidi="ar-SA"/>
        </w:rPr>
        <w:t>区政数局会同区科工局、区财政局</w:t>
      </w:r>
      <w:r>
        <w:rPr>
          <w:rFonts w:hint="eastAsia" w:ascii="仿宋_GB2312" w:hAnsi="仿宋_GB2312" w:eastAsia="仿宋_GB2312" w:cs="仿宋_GB2312"/>
          <w:sz w:val="32"/>
          <w:szCs w:val="32"/>
          <w:lang w:val="zh-CN"/>
        </w:rPr>
        <w:t>负责解释，试行一年，后期根据实施情况按程序修订完善。</w:t>
      </w:r>
    </w:p>
    <w:p w14:paraId="27DB0DC0">
      <w:pPr>
        <w:pStyle w:val="4"/>
        <w:keepNext w:val="0"/>
        <w:keepLines w:val="0"/>
        <w:pageBreakBefore w:val="0"/>
        <w:widowControl w:val="0"/>
        <w:kinsoku/>
        <w:overflowPunct/>
        <w:autoSpaceDE/>
        <w:autoSpaceDN/>
        <w:bidi w:val="0"/>
        <w:adjustRightInd/>
        <w:snapToGrid/>
        <w:spacing w:line="580" w:lineRule="exact"/>
        <w:textAlignment w:val="auto"/>
        <w:rPr>
          <w:rFonts w:hint="eastAsia" w:ascii="仿宋_GB2312" w:hAnsi="仿宋_GB2312" w:eastAsia="仿宋_GB2312" w:cs="仿宋_GB2312"/>
          <w:sz w:val="32"/>
          <w:szCs w:val="32"/>
        </w:rPr>
      </w:pPr>
    </w:p>
    <w:p w14:paraId="60D89F22">
      <w:pPr>
        <w:pStyle w:val="4"/>
        <w:keepNext w:val="0"/>
        <w:keepLines w:val="0"/>
        <w:pageBreakBefore w:val="0"/>
        <w:widowControl w:val="0"/>
        <w:kinsoku/>
        <w:overflowPunct/>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2C243418">
      <w:pPr>
        <w:pStyle w:val="3"/>
        <w:rPr>
          <w:rFonts w:hint="eastAsia" w:ascii="仿宋_GB2312" w:hAnsi="仿宋_GB2312" w:eastAsia="仿宋_GB2312" w:cs="仿宋_GB2312"/>
          <w:sz w:val="32"/>
          <w:szCs w:val="32"/>
        </w:rPr>
      </w:pPr>
    </w:p>
    <w:p w14:paraId="691AC641">
      <w:pPr>
        <w:rPr>
          <w:rFonts w:hint="default" w:ascii="黑体" w:hAnsi="黑体" w:eastAsia="黑体" w:cs="黑体"/>
          <w:b w:val="0"/>
          <w:bCs w:val="0"/>
          <w:snapToGrid w:val="0"/>
          <w:color w:val="000000"/>
          <w:kern w:val="0"/>
          <w:sz w:val="32"/>
          <w:szCs w:val="32"/>
          <w:lang w:val="en-US" w:eastAsia="zh-CN"/>
        </w:rPr>
      </w:pPr>
    </w:p>
    <w:sectPr>
      <w:footerReference r:id="rId3" w:type="default"/>
      <w:pgSz w:w="11906" w:h="16838"/>
      <w:pgMar w:top="2098" w:right="1531" w:bottom="1984" w:left="1531"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70F285-107A-48AA-8503-1226B87C14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7E45CC5-301D-4792-8F65-6C2C1F55CD78}"/>
  </w:font>
  <w:font w:name="等线">
    <w:panose1 w:val="02010600030101010101"/>
    <w:charset w:val="86"/>
    <w:family w:val="auto"/>
    <w:pitch w:val="default"/>
    <w:sig w:usb0="A00002BF" w:usb1="38CF7CFA" w:usb2="00000016" w:usb3="00000000" w:csb0="0004000F" w:csb1="00000000"/>
  </w:font>
  <w:font w:name="楷体_GB2312">
    <w:altName w:val="楷体"/>
    <w:panose1 w:val="02010609030001010101"/>
    <w:charset w:val="86"/>
    <w:family w:val="modern"/>
    <w:pitch w:val="default"/>
    <w:sig w:usb0="00000000" w:usb1="00000000" w:usb2="00000000" w:usb3="00000000" w:csb0="00040000" w:csb1="00000000"/>
    <w:embedRegular r:id="rId3" w:fontKey="{3B20DEA4-6A4A-4912-9A54-D19BBDA16803}"/>
  </w:font>
  <w:font w:name="Times New Roman Regular">
    <w:altName w:val="Times New Roman"/>
    <w:panose1 w:val="02020603050004020304"/>
    <w:charset w:val="00"/>
    <w:family w:val="auto"/>
    <w:pitch w:val="default"/>
    <w:sig w:usb0="00000000" w:usb1="00000000" w:usb2="00000009" w:usb3="00000000" w:csb0="400001FF" w:csb1="FFFF0000"/>
    <w:embedRegular r:id="rId4" w:fontKey="{EBA4EDE8-C4B0-4D8D-B22D-37BC16027056}"/>
  </w:font>
  <w:font w:name="方正小标宋_GBK">
    <w:panose1 w:val="02000000000000000000"/>
    <w:charset w:val="86"/>
    <w:family w:val="auto"/>
    <w:pitch w:val="default"/>
    <w:sig w:usb0="A00002BF" w:usb1="38CF7CFA" w:usb2="00082016" w:usb3="00000000" w:csb0="00040001" w:csb1="00000000"/>
    <w:embedRegular r:id="rId5" w:fontKey="{871116AB-CC0F-4B64-BE76-FA01F0BC1198}"/>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6" w:fontKey="{D75E7742-9501-4F8B-88D0-3F2DCF9E0BCE}"/>
  </w:font>
  <w:font w:name="CESI仿宋-GB2312">
    <w:altName w:val="仿宋"/>
    <w:panose1 w:val="00000000000000000000"/>
    <w:charset w:val="86"/>
    <w:family w:val="auto"/>
    <w:pitch w:val="default"/>
    <w:sig w:usb0="00000000" w:usb1="00000000" w:usb2="00000010" w:usb3="00000000" w:csb0="0004000F" w:csb1="00000000"/>
    <w:embedRegular r:id="rId7" w:fontKey="{D61DD1AB-B94F-42D2-9B25-B2C11C16289D}"/>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DB09F">
    <w:pPr>
      <w:pStyle w:val="5"/>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45CEE2">
                          <w:pPr>
                            <w:pStyle w:val="5"/>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3E45CEE2">
                    <w:pPr>
                      <w:pStyle w:val="5"/>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A059D4"/>
    <w:rsid w:val="125549BE"/>
    <w:rsid w:val="598C7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3"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1"/>
    <w:next w:val="1"/>
    <w:qFormat/>
    <w:uiPriority w:val="0"/>
    <w:pPr>
      <w:spacing w:before="380" w:after="140" w:line="288" w:lineRule="auto"/>
      <w:outlineLvl w:val="0"/>
    </w:pPr>
    <w:rPr>
      <w:rFonts w:ascii="Arial" w:hAnsi="Arial" w:eastAsia="等线" w:cs="Arial"/>
      <w:b/>
      <w:sz w:val="36"/>
      <w:szCs w:val="36"/>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Body Text"/>
    <w:basedOn w:val="4"/>
    <w:next w:val="4"/>
    <w:qFormat/>
    <w:uiPriority w:val="3"/>
    <w:pPr>
      <w:spacing w:line="540" w:lineRule="exact"/>
      <w:jc w:val="left"/>
    </w:pPr>
    <w:rPr>
      <w:rFonts w:hint="eastAsia" w:ascii="楷体_GB2312" w:eastAsia="楷体_GB2312"/>
      <w:sz w:val="32"/>
      <w:szCs w:val="20"/>
    </w:rPr>
  </w:style>
  <w:style w:type="paragraph" w:customStyle="1" w:styleId="4">
    <w:name w:val="正文_0"/>
    <w:next w:val="3"/>
    <w:qFormat/>
    <w:uiPriority w:val="0"/>
    <w:pPr>
      <w:widowControl w:val="0"/>
      <w:jc w:val="both"/>
    </w:pPr>
    <w:rPr>
      <w:rFonts w:ascii="Calibri" w:hAnsi="Calibri" w:eastAsia="宋体" w:cs="Times New Roman"/>
      <w:kern w:val="2"/>
      <w:sz w:val="21"/>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0"/>
    <w:qFormat/>
    <w:uiPriority w:val="0"/>
    <w:pPr>
      <w:tabs>
        <w:tab w:val="center" w:pos="4153"/>
        <w:tab w:val="right" w:pos="8306"/>
      </w:tabs>
      <w:snapToGrid w:val="0"/>
      <w:jc w:val="center"/>
    </w:pPr>
    <w:rPr>
      <w:sz w:val="18"/>
      <w:szCs w:val="18"/>
    </w:rPr>
  </w:style>
  <w:style w:type="paragraph" w:customStyle="1" w:styleId="9">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10">
    <w:name w:val="页眉 字符"/>
    <w:basedOn w:val="8"/>
    <w:link w:val="6"/>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2884</Words>
  <Characters>3071</Characters>
  <Paragraphs>68</Paragraphs>
  <TotalTime>15</TotalTime>
  <ScaleCrop>false</ScaleCrop>
  <LinksUpToDate>false</LinksUpToDate>
  <CharactersWithSpaces>3091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2026-08-02T14:18:00Z</dcterms:created>
  <dc:creator>周紫荆</dc:creator>
  <cp:lastModifiedBy>WPS_1687768169</cp:lastModifiedBy>
  <cp:lastPrinted>2026-08-12T06:07:34Z</cp:lastPrinted>
  <dcterms:modified xsi:type="dcterms:W3CDTF">2026-08-12T06:22:30Z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C5D1C45F47AA4F019E6E11828F51C4EE_13</vt:lpwstr>
  </property>
  <property fmtid="{D5CDD505-2E9C-101B-9397-08002B2CF9AE}" pid="4" name="KSOTemplateDocerSaveRecord">
    <vt:lpwstr>eyJoZGlkIjoiMmQ5ZWZhOTFiNzUzMDU1Y2JiMmNmNDA1ZDQ2NTgzODMiLCJ1c2VySWQiOiIxNTA5NzI2Nzg1In0=</vt:lpwstr>
  </property>
</Properties>
</file>