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华文中宋"/>
          <w:b/>
          <w:bCs/>
          <w:sz w:val="40"/>
          <w:szCs w:val="40"/>
        </w:rPr>
      </w:pPr>
      <w:bookmarkStart w:id="0" w:name="_GoBack"/>
      <w:r>
        <w:rPr>
          <w:rFonts w:hint="eastAsia" w:ascii="华文中宋" w:hAnsi="华文中宋" w:eastAsia="华文中宋" w:cs="华文中宋"/>
          <w:b/>
          <w:bCs/>
          <w:sz w:val="40"/>
          <w:szCs w:val="40"/>
        </w:rPr>
        <w:t>2022年民政局基层政权建设和社区治理经费项目部门评价报告</w:t>
      </w:r>
    </w:p>
    <w:bookmarkEnd w:id="0"/>
    <w:p>
      <w:pPr>
        <w:jc w:val="left"/>
        <w:rPr>
          <w:rFonts w:ascii="仿宋" w:hAnsi="仿宋" w:eastAsia="仿宋" w:cs="仿宋_GB2312"/>
          <w:b/>
          <w:bCs/>
          <w:sz w:val="32"/>
          <w:szCs w:val="40"/>
        </w:rPr>
      </w:pPr>
    </w:p>
    <w:p>
      <w:pPr>
        <w:jc w:val="left"/>
        <w:rPr>
          <w:rFonts w:ascii="仿宋" w:hAnsi="仿宋" w:eastAsia="仿宋" w:cs="仿宋_GB2312"/>
          <w:b/>
          <w:bCs/>
          <w:sz w:val="32"/>
          <w:szCs w:val="40"/>
        </w:rPr>
      </w:pPr>
      <w:r>
        <w:rPr>
          <w:rFonts w:hint="eastAsia" w:ascii="仿宋" w:hAnsi="仿宋" w:eastAsia="仿宋" w:cs="仿宋_GB2312"/>
          <w:b/>
          <w:bCs/>
          <w:sz w:val="32"/>
          <w:szCs w:val="40"/>
        </w:rPr>
        <w:t>一、基本情况</w:t>
      </w:r>
    </w:p>
    <w:p>
      <w:p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（一）项目概况</w:t>
      </w:r>
    </w:p>
    <w:p>
      <w:pPr>
        <w:ind w:left="420"/>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1、项目背景</w:t>
      </w:r>
    </w:p>
    <w:p>
      <w:pPr>
        <w:spacing w:line="600" w:lineRule="exact"/>
        <w:ind w:left="-2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最美社区工作者项目包含了两项内容，一是为了深入挖掘和宣传红谷滩区城乡社区治理工作中涌现出的先进人物，进一步提高基层党组织和广大党员服务群众的能力水平，充分展示新时期优秀城市社区工作者的示范引领作用，开展了“年度最美社区工作者”评选活动。二是为了进一步关心、关爱社区干部身体健康，保障社区工作者的工会福利待遇，伴随着开展了全区社区工作者的体检项目。</w:t>
      </w:r>
    </w:p>
    <w:p>
      <w:pPr>
        <w:spacing w:line="600" w:lineRule="exact"/>
        <w:ind w:left="-220"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2、资金投入和使用情况</w:t>
      </w:r>
    </w:p>
    <w:p>
      <w:pPr>
        <w:spacing w:line="600" w:lineRule="exact"/>
        <w:ind w:left="420" w:firstLine="420"/>
        <w:rPr>
          <w:rFonts w:ascii="华文仿宋" w:hAnsi="华文仿宋" w:eastAsia="华文仿宋" w:cs="华文仿宋"/>
          <w:sz w:val="28"/>
          <w:szCs w:val="28"/>
        </w:rPr>
      </w:pPr>
      <w:r>
        <w:rPr>
          <w:rFonts w:hint="eastAsia" w:ascii="华文仿宋" w:hAnsi="华文仿宋" w:eastAsia="华文仿宋" w:cs="华文仿宋"/>
          <w:sz w:val="28"/>
          <w:szCs w:val="28"/>
        </w:rPr>
        <w:t>年初预算金额</w:t>
      </w:r>
      <w:r>
        <w:rPr>
          <w:rFonts w:ascii="华文仿宋" w:hAnsi="华文仿宋" w:eastAsia="华文仿宋" w:cs="华文仿宋"/>
          <w:sz w:val="28"/>
          <w:szCs w:val="28"/>
        </w:rPr>
        <w:t>195.1</w:t>
      </w:r>
      <w:r>
        <w:rPr>
          <w:rFonts w:hint="eastAsia" w:ascii="华文仿宋" w:hAnsi="华文仿宋" w:eastAsia="华文仿宋" w:cs="华文仿宋"/>
          <w:sz w:val="28"/>
          <w:szCs w:val="28"/>
        </w:rPr>
        <w:t>万元，支出</w:t>
      </w:r>
      <w:r>
        <w:rPr>
          <w:rFonts w:ascii="华文仿宋" w:hAnsi="华文仿宋" w:eastAsia="华文仿宋" w:cs="华文仿宋"/>
          <w:sz w:val="28"/>
          <w:szCs w:val="28"/>
        </w:rPr>
        <w:t>170.03</w:t>
      </w:r>
      <w:r>
        <w:rPr>
          <w:rFonts w:hint="eastAsia" w:ascii="华文仿宋" w:hAnsi="华文仿宋" w:eastAsia="华文仿宋" w:cs="华文仿宋"/>
          <w:sz w:val="28"/>
          <w:szCs w:val="28"/>
        </w:rPr>
        <w:t>万元。</w:t>
      </w:r>
    </w:p>
    <w:p>
      <w:pPr>
        <w:numPr>
          <w:ilvl w:val="0"/>
          <w:numId w:val="1"/>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项目绩效目标</w:t>
      </w:r>
    </w:p>
    <w:p>
      <w:pPr>
        <w:numPr>
          <w:ilvl w:val="0"/>
          <w:numId w:val="2"/>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总体目标</w:t>
      </w:r>
    </w:p>
    <w:p>
      <w:pPr>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项目总体目标为根据实际项目进度完成结算，各项评价指标达到基本要求。</w:t>
      </w:r>
    </w:p>
    <w:p>
      <w:pPr>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针对2022年度基层政权建设和社区治理经费项目制定相应的绩效指标体系，具体指标见下表，所设置的绩效目标与项目实际执行相匹配。</w:t>
      </w:r>
    </w:p>
    <w:p>
      <w:pPr>
        <w:pStyle w:val="2"/>
        <w:rPr>
          <w:rFonts w:hint="default"/>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131"/>
        <w:gridCol w:w="1567"/>
        <w:gridCol w:w="3375"/>
        <w:gridCol w:w="2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0" w:hRule="atLeast"/>
        </w:trPr>
        <w:tc>
          <w:tcPr>
            <w:tcW w:w="1131" w:type="dxa"/>
            <w:shd w:val="clear" w:color="auto" w:fill="FFFFFF" w:themeFill="background1"/>
            <w:vAlign w:val="center"/>
          </w:tcPr>
          <w:p>
            <w:pPr>
              <w:widowControl/>
              <w:jc w:val="center"/>
              <w:textAlignment w:val="center"/>
              <w:rPr>
                <w:rFonts w:ascii="仿宋" w:hAnsi="仿宋" w:eastAsia="仿宋" w:cs="仿宋"/>
                <w:b/>
                <w:szCs w:val="21"/>
              </w:rPr>
            </w:pPr>
            <w:r>
              <w:rPr>
                <w:rFonts w:hint="eastAsia" w:ascii="仿宋" w:hAnsi="仿宋" w:eastAsia="仿宋" w:cs="仿宋"/>
                <w:b/>
                <w:kern w:val="0"/>
                <w:szCs w:val="21"/>
                <w:lang w:bidi="ar"/>
              </w:rPr>
              <w:t>一级指标</w:t>
            </w:r>
          </w:p>
        </w:tc>
        <w:tc>
          <w:tcPr>
            <w:tcW w:w="1567" w:type="dxa"/>
            <w:shd w:val="clear" w:color="auto" w:fill="FFFFFF" w:themeFill="background1"/>
            <w:vAlign w:val="center"/>
          </w:tcPr>
          <w:p>
            <w:pPr>
              <w:widowControl/>
              <w:jc w:val="center"/>
              <w:textAlignment w:val="center"/>
              <w:rPr>
                <w:rFonts w:ascii="仿宋" w:hAnsi="仿宋" w:eastAsia="仿宋" w:cs="仿宋"/>
                <w:b/>
                <w:szCs w:val="21"/>
              </w:rPr>
            </w:pPr>
            <w:r>
              <w:rPr>
                <w:rFonts w:hint="eastAsia" w:ascii="仿宋" w:hAnsi="仿宋" w:eastAsia="仿宋" w:cs="仿宋"/>
                <w:b/>
                <w:kern w:val="0"/>
                <w:szCs w:val="21"/>
                <w:lang w:bidi="ar"/>
              </w:rPr>
              <w:t>二级指标</w:t>
            </w:r>
          </w:p>
        </w:tc>
        <w:tc>
          <w:tcPr>
            <w:tcW w:w="3375" w:type="dxa"/>
            <w:shd w:val="clear" w:color="auto" w:fill="FFFFFF" w:themeFill="background1"/>
            <w:vAlign w:val="center"/>
          </w:tcPr>
          <w:p>
            <w:pPr>
              <w:widowControl/>
              <w:ind w:firstLine="482"/>
              <w:jc w:val="center"/>
              <w:textAlignment w:val="center"/>
              <w:rPr>
                <w:rFonts w:ascii="仿宋" w:hAnsi="仿宋" w:eastAsia="仿宋" w:cs="仿宋"/>
                <w:b/>
                <w:szCs w:val="21"/>
              </w:rPr>
            </w:pPr>
            <w:r>
              <w:rPr>
                <w:rFonts w:hint="eastAsia" w:ascii="仿宋" w:hAnsi="仿宋" w:eastAsia="仿宋" w:cs="仿宋"/>
                <w:b/>
                <w:kern w:val="0"/>
                <w:szCs w:val="21"/>
                <w:lang w:bidi="ar"/>
              </w:rPr>
              <w:t>三级指标</w:t>
            </w:r>
          </w:p>
        </w:tc>
        <w:tc>
          <w:tcPr>
            <w:tcW w:w="2263" w:type="dxa"/>
            <w:shd w:val="clear" w:color="auto" w:fill="FFFFFF" w:themeFill="background1"/>
            <w:vAlign w:val="center"/>
          </w:tcPr>
          <w:p>
            <w:pPr>
              <w:widowControl/>
              <w:ind w:firstLine="482"/>
              <w:jc w:val="center"/>
              <w:textAlignment w:val="center"/>
              <w:rPr>
                <w:rFonts w:ascii="仿宋" w:hAnsi="仿宋" w:eastAsia="仿宋" w:cs="仿宋"/>
                <w:b/>
                <w:szCs w:val="21"/>
              </w:rPr>
            </w:pPr>
            <w:r>
              <w:rPr>
                <w:rFonts w:hint="eastAsia" w:ascii="仿宋" w:hAnsi="仿宋" w:eastAsia="仿宋" w:cs="仿宋"/>
                <w:b/>
                <w:szCs w:val="21"/>
              </w:rPr>
              <w:t>年度目标值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8" w:hRule="atLeast"/>
        </w:trPr>
        <w:tc>
          <w:tcPr>
            <w:tcW w:w="1131" w:type="dxa"/>
            <w:vMerge w:val="restart"/>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产出指标</w:t>
            </w:r>
          </w:p>
        </w:tc>
        <w:tc>
          <w:tcPr>
            <w:tcW w:w="1567" w:type="dxa"/>
            <w:vMerge w:val="restart"/>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数量指标</w:t>
            </w:r>
          </w:p>
        </w:tc>
        <w:tc>
          <w:tcPr>
            <w:tcW w:w="3375"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社区政权建设覆盖率</w:t>
            </w:r>
          </w:p>
        </w:tc>
        <w:tc>
          <w:tcPr>
            <w:tcW w:w="2263"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6"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质量指标</w:t>
            </w:r>
          </w:p>
        </w:tc>
        <w:tc>
          <w:tcPr>
            <w:tcW w:w="3375"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项目实施达标率</w:t>
            </w:r>
          </w:p>
        </w:tc>
        <w:tc>
          <w:tcPr>
            <w:tcW w:w="2263"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5"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时效指标</w:t>
            </w:r>
          </w:p>
        </w:tc>
        <w:tc>
          <w:tcPr>
            <w:tcW w:w="3375"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资金支付及时率</w:t>
            </w:r>
          </w:p>
        </w:tc>
        <w:tc>
          <w:tcPr>
            <w:tcW w:w="2263"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&gt;=90%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93"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成本指标</w:t>
            </w:r>
          </w:p>
        </w:tc>
        <w:tc>
          <w:tcPr>
            <w:tcW w:w="3375"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费用成本支出</w:t>
            </w:r>
          </w:p>
        </w:tc>
        <w:tc>
          <w:tcPr>
            <w:tcW w:w="2263"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&lt;=1</w:t>
            </w:r>
            <w:r>
              <w:rPr>
                <w:rFonts w:ascii="仿宋" w:hAnsi="仿宋" w:eastAsia="仿宋" w:cs="仿宋"/>
                <w:color w:val="000000"/>
                <w:szCs w:val="21"/>
              </w:rPr>
              <w:t>95.1</w:t>
            </w:r>
            <w:r>
              <w:rPr>
                <w:rFonts w:hint="eastAsia" w:ascii="仿宋" w:hAnsi="仿宋" w:eastAsia="仿宋" w:cs="仿宋"/>
                <w:color w:val="00000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131" w:type="dxa"/>
            <w:vMerge w:val="restart"/>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效益指标</w:t>
            </w: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经济效益</w:t>
            </w:r>
          </w:p>
        </w:tc>
        <w:tc>
          <w:tcPr>
            <w:tcW w:w="3375" w:type="dxa"/>
            <w:shd w:val="clear" w:color="auto" w:fill="FFFFFF"/>
            <w:vAlign w:val="center"/>
          </w:tcPr>
          <w:p>
            <w:pPr>
              <w:widowControl/>
              <w:jc w:val="center"/>
              <w:textAlignment w:val="center"/>
              <w:rPr>
                <w:rFonts w:ascii="仿宋" w:hAnsi="仿宋" w:eastAsia="仿宋" w:cs="仿宋"/>
                <w:color w:val="000000"/>
                <w:szCs w:val="21"/>
              </w:rPr>
            </w:pPr>
          </w:p>
        </w:tc>
        <w:tc>
          <w:tcPr>
            <w:tcW w:w="2263" w:type="dxa"/>
            <w:shd w:val="clear" w:color="auto" w:fill="FFFFFF"/>
            <w:vAlign w:val="center"/>
          </w:tcPr>
          <w:p>
            <w:pPr>
              <w:jc w:val="center"/>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jc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社会效益</w:t>
            </w:r>
          </w:p>
        </w:tc>
        <w:tc>
          <w:tcPr>
            <w:tcW w:w="3375"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社区工作产出、服务水平-</w:t>
            </w:r>
          </w:p>
        </w:tc>
        <w:tc>
          <w:tcPr>
            <w:tcW w:w="2263"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生态效益</w:t>
            </w:r>
          </w:p>
        </w:tc>
        <w:tc>
          <w:tcPr>
            <w:tcW w:w="3375"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w:t>
            </w:r>
          </w:p>
        </w:tc>
        <w:tc>
          <w:tcPr>
            <w:tcW w:w="2263" w:type="dxa"/>
            <w:shd w:val="clear" w:color="auto" w:fill="FFFFFF"/>
            <w:vAlign w:val="center"/>
          </w:tcPr>
          <w:p>
            <w:pPr>
              <w:jc w:val="center"/>
              <w:rPr>
                <w:rFonts w:ascii="仿宋" w:hAnsi="仿宋" w:eastAsia="仿宋" w:cs="仿宋"/>
                <w:color w:val="000000"/>
                <w:szCs w:val="21"/>
              </w:rPr>
            </w:pPr>
            <w:r>
              <w:rPr>
                <w:rFonts w:hint="eastAsia" w:ascii="仿宋" w:hAnsi="仿宋" w:eastAsia="仿宋" w:cs="仿宋"/>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131" w:type="dxa"/>
            <w:vMerge w:val="continue"/>
            <w:shd w:val="clear" w:color="auto" w:fill="FFFFFF"/>
            <w:vAlign w:val="center"/>
          </w:tcPr>
          <w:p>
            <w:pPr>
              <w:ind w:firstLine="480"/>
              <w:jc w:val="center"/>
              <w:rPr>
                <w:rFonts w:ascii="仿宋" w:hAnsi="仿宋" w:eastAsia="仿宋" w:cs="仿宋"/>
                <w:color w:val="000000"/>
                <w:szCs w:val="21"/>
              </w:rPr>
            </w:pPr>
          </w:p>
        </w:tc>
        <w:tc>
          <w:tcPr>
            <w:tcW w:w="1567"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可持续效益</w:t>
            </w:r>
          </w:p>
        </w:tc>
        <w:tc>
          <w:tcPr>
            <w:tcW w:w="3375"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w:t>
            </w:r>
          </w:p>
        </w:tc>
        <w:tc>
          <w:tcPr>
            <w:tcW w:w="2263" w:type="dxa"/>
            <w:shd w:val="clear" w:color="auto" w:fill="FFFFFF"/>
            <w:vAlign w:val="center"/>
          </w:tcPr>
          <w:p>
            <w:pPr>
              <w:jc w:val="center"/>
              <w:rPr>
                <w:rFonts w:ascii="仿宋" w:hAnsi="仿宋" w:eastAsia="仿宋" w:cs="仿宋"/>
                <w:color w:val="000000"/>
                <w:szCs w:val="21"/>
              </w:rPr>
            </w:pPr>
            <w:r>
              <w:rPr>
                <w:rFonts w:hint="eastAsia" w:ascii="仿宋" w:hAnsi="仿宋" w:eastAsia="仿宋" w:cs="仿宋"/>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1" w:hRule="atLeast"/>
        </w:trPr>
        <w:tc>
          <w:tcPr>
            <w:tcW w:w="1131" w:type="dxa"/>
            <w:shd w:val="clear" w:color="auto" w:fill="FFFFFF"/>
            <w:vAlign w:val="center"/>
          </w:tcPr>
          <w:p>
            <w:pPr>
              <w:widowControl/>
              <w:tabs>
                <w:tab w:val="left" w:pos="298"/>
              </w:tabs>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满意度</w:t>
            </w:r>
          </w:p>
          <w:p>
            <w:pPr>
              <w:widowControl/>
              <w:tabs>
                <w:tab w:val="left" w:pos="298"/>
              </w:tabs>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指标</w:t>
            </w:r>
          </w:p>
        </w:tc>
        <w:tc>
          <w:tcPr>
            <w:tcW w:w="1567" w:type="dxa"/>
            <w:shd w:val="clear" w:color="auto" w:fill="FFFFFF"/>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满意度</w:t>
            </w:r>
          </w:p>
        </w:tc>
        <w:tc>
          <w:tcPr>
            <w:tcW w:w="3375"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相关部门、群众满意度</w:t>
            </w:r>
          </w:p>
        </w:tc>
        <w:tc>
          <w:tcPr>
            <w:tcW w:w="2263" w:type="dxa"/>
            <w:shd w:val="clear" w:color="auto" w:fill="FFFFFF"/>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&gt;=</w:t>
            </w:r>
            <w:r>
              <w:rPr>
                <w:rFonts w:ascii="仿宋" w:hAnsi="仿宋" w:eastAsia="仿宋" w:cs="仿宋"/>
                <w:color w:val="000000"/>
                <w:szCs w:val="21"/>
              </w:rPr>
              <w:t>9</w:t>
            </w:r>
            <w:r>
              <w:rPr>
                <w:rFonts w:hint="eastAsia" w:ascii="仿宋" w:hAnsi="仿宋" w:eastAsia="仿宋" w:cs="仿宋"/>
                <w:color w:val="000000"/>
                <w:szCs w:val="21"/>
              </w:rPr>
              <w:t>5%</w:t>
            </w:r>
          </w:p>
        </w:tc>
      </w:tr>
    </w:tbl>
    <w:p>
      <w:pPr>
        <w:jc w:val="left"/>
        <w:rPr>
          <w:rFonts w:ascii="仿宋" w:hAnsi="仿宋" w:eastAsia="仿宋" w:cs="仿宋_GB2312"/>
          <w:b/>
          <w:bCs/>
          <w:sz w:val="32"/>
          <w:szCs w:val="40"/>
        </w:rPr>
      </w:pPr>
      <w:r>
        <w:rPr>
          <w:rFonts w:hint="eastAsia" w:ascii="仿宋" w:hAnsi="仿宋" w:eastAsia="仿宋" w:cs="仿宋_GB2312"/>
          <w:b/>
          <w:bCs/>
          <w:sz w:val="32"/>
          <w:szCs w:val="40"/>
        </w:rPr>
        <w:t>二、绩效评价工作开展情况</w:t>
      </w:r>
    </w:p>
    <w:p>
      <w:pPr>
        <w:numPr>
          <w:ilvl w:val="0"/>
          <w:numId w:val="3"/>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绩效评价目的、对象和范围</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1、绩效评价目的</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（1）通过绩效评价，考察立项依据的充分性，有利于正确引导和规范政府投资建设资金监督和管理，形成有效的监督约束，增加财政投资资金的透明度；</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（2）通过绩效评价，考察预算编制的准确性，有利于衡量政府建设资金的产出与效果，分析、检查资金使用是否达到预期目标，是否为预算安排提供了重要依据；</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 xml:space="preserve">（3）通过绩效评价，对实施过程中的经验做法进行总结和提炼，发现亮点，分析存在问题，提出合理化建议，进一步促进红谷滩区基层政权建设和社区治理经费项目优化提升，提高资金使用效益。 </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2、绩效评价对象</w:t>
      </w:r>
    </w:p>
    <w:p>
      <w:pPr>
        <w:spacing w:line="580" w:lineRule="exact"/>
        <w:ind w:firstLine="560" w:firstLineChars="200"/>
        <w:rPr>
          <w:rFonts w:ascii="华文仿宋" w:hAnsi="华文仿宋" w:eastAsia="华文仿宋" w:cs="华文仿宋"/>
          <w:sz w:val="28"/>
          <w:szCs w:val="28"/>
          <w:highlight w:val="yellow"/>
        </w:rPr>
      </w:pPr>
      <w:r>
        <w:rPr>
          <w:rFonts w:hint="eastAsia" w:ascii="华文仿宋" w:hAnsi="华文仿宋" w:eastAsia="华文仿宋" w:cs="华文仿宋"/>
          <w:sz w:val="28"/>
          <w:szCs w:val="28"/>
        </w:rPr>
        <w:t>本次评价对象为红谷滩区2022年度基层政权建设和社区治理经费项目资金，2022年度财政预算安排资金为1</w:t>
      </w:r>
      <w:r>
        <w:rPr>
          <w:rFonts w:ascii="华文仿宋" w:hAnsi="华文仿宋" w:eastAsia="华文仿宋" w:cs="华文仿宋"/>
          <w:sz w:val="28"/>
          <w:szCs w:val="28"/>
        </w:rPr>
        <w:t>95.1</w:t>
      </w:r>
      <w:r>
        <w:rPr>
          <w:rFonts w:hint="eastAsia" w:ascii="华文仿宋" w:hAnsi="华文仿宋" w:eastAsia="华文仿宋" w:cs="华文仿宋"/>
          <w:sz w:val="28"/>
          <w:szCs w:val="28"/>
        </w:rPr>
        <w:t>万元。</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3、绩效评价范围</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根据《江西省省级项目支出和部门整体支出绩效评价管理暂行办法》、《中共南昌市委南昌市人民政府关于全面实施预算绩效管理的实施意见》及《南昌市财政项目支出绩效评价管理办法》文件精神，从项目决策、项目过程、项目产出与效果等方面对红谷滩区2022年度基层政权建设和社区治理经费项目进行绩效综合评价。</w:t>
      </w:r>
    </w:p>
    <w:p>
      <w:pPr>
        <w:numPr>
          <w:ilvl w:val="0"/>
          <w:numId w:val="3"/>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绩效评价原则、评价指标体系（附表说明）、评价方法、评价标准等。</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1、绩效评价原则</w:t>
      </w:r>
    </w:p>
    <w:p>
      <w:pPr>
        <w:spacing w:line="580" w:lineRule="exact"/>
        <w:ind w:right="3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（1）相关性原则。应与绩效目标有直接的联系，能够恰当反映目标的实现程度；</w:t>
      </w:r>
    </w:p>
    <w:p>
      <w:pPr>
        <w:spacing w:line="580" w:lineRule="exact"/>
        <w:ind w:right="3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（2）可比性原则。对同类评价对象要设定共性的绩效评价指标，以便评价结果可以相互比较；</w:t>
      </w:r>
    </w:p>
    <w:p>
      <w:pPr>
        <w:spacing w:line="580" w:lineRule="exact"/>
        <w:ind w:right="3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（3）系统性原则。将定量指标与定性指标相结合，系统反映财政支出所产生的社会效益、经济效益、环境效益和可持续影响等；</w:t>
      </w:r>
    </w:p>
    <w:p>
      <w:pPr>
        <w:spacing w:line="580" w:lineRule="exact"/>
        <w:ind w:right="3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（4）经济性原则。通俗易懂、简便易行，数据的获得应考虑现实条件和可操作性，符合成本效益原则。</w:t>
      </w:r>
    </w:p>
    <w:p>
      <w:pPr>
        <w:spacing w:line="580" w:lineRule="exact"/>
        <w:ind w:right="3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2、评价指标体系</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根据绩效评价的基本原理、原则和项目特点，结合《项目支出绩效评价管理办法》（财预[2020]10号）有关要求设置，本次绩效评价指标体系包括决策、过程、产出及效益4个一级指标，11个二级指标和18个三级指标，满分为100分。</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（1）项目决策类指标：占权重分15分，从项目立项、绩效目标、资金投入三个方面评价项目立项依据充分性、立项规范性、绩效目标合理性、绩效指标明确性、预算编制科学性以及资金分配合理性等内容。</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（2）项目过程类指标：占权重分15分，从资金管理和组织实施两方面评价资金到位率、预算执行率、资金使用合规性、管理制度健全性、制度执行有效性等内容。</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（3）项目产出类指标：占权重分40分，用于综合评价资金投入使用后的产出情况，指标设计相应地从数量、质量、时效和成本四个角度入手，有针对性的设计三级指标。</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（4）项目效益类指标：占权重分30分，用于综合评价资金投入使用后的效益实现程度，以及项目运行期内社会公众或服务对象的满意程度等内容。</w:t>
      </w:r>
    </w:p>
    <w:p>
      <w:pPr>
        <w:pStyle w:val="4"/>
        <w:ind w:firstLine="560" w:firstLineChars="200"/>
        <w:rPr>
          <w:rFonts w:ascii="华文仿宋" w:hAnsi="华文仿宋" w:eastAsia="华文仿宋" w:cs="华文仿宋"/>
        </w:rPr>
      </w:pPr>
      <w:r>
        <w:rPr>
          <w:rFonts w:hint="eastAsia" w:ascii="华文仿宋" w:hAnsi="华文仿宋" w:eastAsia="华文仿宋" w:cs="华文仿宋"/>
        </w:rPr>
        <w:t>具体评价指标设置如下表所示：</w:t>
      </w:r>
    </w:p>
    <w:tbl>
      <w:tblPr>
        <w:tblStyle w:val="8"/>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361"/>
        <w:gridCol w:w="596"/>
        <w:gridCol w:w="1963"/>
        <w:gridCol w:w="706"/>
        <w:gridCol w:w="3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blHeader/>
          <w:jc w:val="center"/>
        </w:trPr>
        <w:tc>
          <w:tcPr>
            <w:tcW w:w="1141"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一级</w:t>
            </w:r>
          </w:p>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指标</w:t>
            </w:r>
          </w:p>
        </w:tc>
        <w:tc>
          <w:tcPr>
            <w:tcW w:w="1361"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二级指标</w:t>
            </w:r>
          </w:p>
        </w:tc>
        <w:tc>
          <w:tcPr>
            <w:tcW w:w="596"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分</w:t>
            </w:r>
          </w:p>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值</w:t>
            </w:r>
          </w:p>
        </w:tc>
        <w:tc>
          <w:tcPr>
            <w:tcW w:w="1963"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三级指标</w:t>
            </w:r>
          </w:p>
        </w:tc>
        <w:tc>
          <w:tcPr>
            <w:tcW w:w="706"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分值</w:t>
            </w:r>
          </w:p>
        </w:tc>
        <w:tc>
          <w:tcPr>
            <w:tcW w:w="3980"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决策　</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w:t>
            </w:r>
          </w:p>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（15分）　</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项目立项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立项依据充分性</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3980" w:type="dxa"/>
            <w:shd w:val="clear" w:color="auto"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①项目立项是否符合国家法律法规、国民经济发展规划和相关政策；</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②项目立项是否符合行业发展规划和政策要求；</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③项目立项是否与部门职责范围相符，属于部门履职所需；</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④项目是否属于公共财政支持范围，是否符合中央、地方事权支出责任划分原则；</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⑤项目是否与相关部门同类项目或部门内部相关项目重复。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立项程序规范性</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3980" w:type="dxa"/>
            <w:shd w:val="clear" w:color="auto"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①项目是否按照规定的程序申请设立；</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②审批文件、材料是否符合相关要求；</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③事前是否已经过必要的可行性研究、专家论证、风险评估、绩效评估、集体决策。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绩效目标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6</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绩效目标合理性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①项目是否有绩效目标；</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②项目绩效目标与实际工作内容是否具有相关性；</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③项目预期产出效益和效果是否符合正常的业绩水平；</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④是否与预算确定的项目投资额或资金量相匹配。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绩效指标明确性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①是否将项目绩效目标细化分解为具体的绩效指标；</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②是否通过清晰、可衡量的指标值予以体现；</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③是否与项目目标任务数或计划数相对应。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资金投入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预算编制科学性</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auto"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①预算编制是否经过科学论证；</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②预算内容与项目内容是否匹配；</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③预算额度测算依据是否充分，是否按照标准编制；</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④预算确定的项目投资额或资金量是否与工作任务相匹配。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资金分配合理性</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3980" w:type="dxa"/>
            <w:shd w:val="clear" w:color="auto"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①预算资金分配依据是否充分；</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②资金分配额度是否合理，与项目单位或地方实际是否相适应。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141" w:type="dxa"/>
            <w:vMerge w:val="restart"/>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过程</w:t>
            </w:r>
          </w:p>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（15分）</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资金管理</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8</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资金到位率</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3980" w:type="dxa"/>
            <w:shd w:val="clear" w:color="000000" w:fill="FFFFFF"/>
            <w:vAlign w:val="center"/>
          </w:tcPr>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资金到位率=实际到位资金/预算资金实际到位资金：一定时期（本年度或项目期）内落实到具体项目的资金。预算资金：一定时期（本年度或项目期）内预算安排到具体项目的资金。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预算执行率</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auto" w:fill="FFFFFF"/>
            <w:vAlign w:val="center"/>
          </w:tcPr>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预算执行率=（实际支出资金/实际到位资金）×100%。实际支出资金：一定时期（本年度或项目期）内项目实际拨付的资金。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资金使用合规性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①是否符合国家财经法规和财务管理制度以及有关专项资金管理办法的规定；</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②资金的拨付是否有完整的审批程序和手续；</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③是否符合项目预算批复或合同规定的用途；</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④是否存在截留、挤占、挪用、虚列支出等情况。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组织实施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7</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管理制度健全性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①是否已制定或具有相应的财务和业务管理制度；</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②财务和业务管理制度是否合法、合规、完整。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制度执行有效性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w:t>
            </w:r>
          </w:p>
        </w:tc>
        <w:tc>
          <w:tcPr>
            <w:tcW w:w="3980" w:type="dxa"/>
            <w:shd w:val="clear" w:color="000000" w:fill="FFFFFF"/>
            <w:vAlign w:val="center"/>
          </w:tcPr>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①是否遵守相关法律法规和相关管理规定；</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②项目调整及支出调整手续是否完备；</w:t>
            </w:r>
          </w:p>
          <w:p>
            <w:pPr>
              <w:widowControl/>
              <w:spacing w:line="240" w:lineRule="exact"/>
              <w:jc w:val="left"/>
              <w:rPr>
                <w:rFonts w:ascii="仿宋" w:hAnsi="仿宋" w:eastAsia="仿宋" w:cs="仿宋"/>
                <w:kern w:val="0"/>
                <w:szCs w:val="21"/>
              </w:rPr>
            </w:pPr>
            <w:r>
              <w:rPr>
                <w:rFonts w:hint="eastAsia" w:ascii="仿宋" w:hAnsi="仿宋" w:eastAsia="仿宋" w:cs="仿宋"/>
                <w:kern w:val="0"/>
                <w:szCs w:val="21"/>
              </w:rPr>
              <w:t>③项目合同书、验收报告、技术鉴定等资料是否齐全并及时归档；</w:t>
            </w:r>
          </w:p>
          <w:p>
            <w:pPr>
              <w:widowControl/>
              <w:spacing w:line="240" w:lineRule="exact"/>
              <w:jc w:val="left"/>
              <w:rPr>
                <w:rFonts w:ascii="仿宋" w:hAnsi="仿宋" w:eastAsia="仿宋" w:cs="仿宋"/>
                <w:color w:val="000000"/>
                <w:kern w:val="0"/>
                <w:szCs w:val="21"/>
              </w:rPr>
            </w:pPr>
            <w:r>
              <w:rPr>
                <w:rFonts w:hint="eastAsia" w:ascii="仿宋" w:hAnsi="仿宋" w:eastAsia="仿宋" w:cs="仿宋"/>
                <w:kern w:val="0"/>
                <w:szCs w:val="21"/>
              </w:rPr>
              <w:t>④项目实施的人员条件、场地设备、信息支撑等是否落实到位。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（40分）</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产出数量</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社区治理数量</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3980" w:type="dxa"/>
            <w:shd w:val="clear" w:color="000000"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完成全部数量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kern w:val="0"/>
                <w:szCs w:val="21"/>
              </w:rPr>
              <w:t>社区政权建设数量数量</w:t>
            </w:r>
          </w:p>
        </w:tc>
        <w:tc>
          <w:tcPr>
            <w:tcW w:w="706" w:type="dxa"/>
            <w:shd w:val="clear" w:color="000000" w:fill="FFFFFF"/>
            <w:vAlign w:val="center"/>
          </w:tcPr>
          <w:p>
            <w:pPr>
              <w:widowControl/>
              <w:spacing w:line="240" w:lineRule="exact"/>
              <w:jc w:val="center"/>
              <w:rPr>
                <w:rFonts w:ascii="仿宋" w:hAnsi="仿宋" w:eastAsia="仿宋" w:cs="仿宋"/>
                <w:kern w:val="0"/>
                <w:szCs w:val="21"/>
              </w:rPr>
            </w:pPr>
            <w:r>
              <w:rPr>
                <w:rFonts w:hint="eastAsia" w:ascii="仿宋" w:hAnsi="仿宋" w:eastAsia="仿宋" w:cs="仿宋"/>
                <w:kern w:val="0"/>
                <w:szCs w:val="21"/>
              </w:rPr>
              <w:t>5</w:t>
            </w:r>
          </w:p>
        </w:tc>
        <w:tc>
          <w:tcPr>
            <w:tcW w:w="3980" w:type="dxa"/>
            <w:shd w:val="clear" w:color="000000"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完成全部数量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产出质量</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实施达标率</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3980" w:type="dxa"/>
            <w:shd w:val="clear" w:color="000000"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达到合格要求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产出时效</w:t>
            </w:r>
          </w:p>
        </w:tc>
        <w:tc>
          <w:tcPr>
            <w:tcW w:w="596" w:type="dxa"/>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各项工作完成及时性</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980" w:type="dxa"/>
            <w:shd w:val="clear" w:color="000000"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各项工作均按时完成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产出成本</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项目资金费用</w:t>
            </w:r>
          </w:p>
        </w:tc>
        <w:tc>
          <w:tcPr>
            <w:tcW w:w="706"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980" w:type="dxa"/>
            <w:shd w:val="clear" w:color="000000"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项目资金费用为1</w:t>
            </w:r>
            <w:r>
              <w:rPr>
                <w:rFonts w:ascii="仿宋" w:hAnsi="仿宋" w:eastAsia="仿宋" w:cs="仿宋"/>
                <w:color w:val="000000"/>
                <w:kern w:val="0"/>
                <w:szCs w:val="21"/>
              </w:rPr>
              <w:t>95.1</w:t>
            </w:r>
            <w:r>
              <w:rPr>
                <w:rFonts w:hint="eastAsia" w:ascii="仿宋" w:hAnsi="仿宋" w:eastAsia="仿宋" w:cs="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效益</w:t>
            </w:r>
          </w:p>
          <w:p>
            <w:pPr>
              <w:pStyle w:val="4"/>
              <w:rPr>
                <w:sz w:val="21"/>
                <w:szCs w:val="21"/>
              </w:rPr>
            </w:pPr>
            <w:r>
              <w:rPr>
                <w:rFonts w:hint="eastAsia" w:eastAsia="仿宋" w:cs="仿宋"/>
                <w:color w:val="000000"/>
                <w:kern w:val="0"/>
                <w:sz w:val="21"/>
                <w:szCs w:val="21"/>
              </w:rPr>
              <w:t>（30分）</w:t>
            </w:r>
          </w:p>
          <w:p>
            <w:pPr>
              <w:widowControl/>
              <w:spacing w:line="240" w:lineRule="exact"/>
              <w:jc w:val="center"/>
              <w:rPr>
                <w:rFonts w:ascii="仿宋" w:hAnsi="仿宋" w:eastAsia="仿宋" w:cs="仿宋"/>
                <w:color w:val="000000"/>
                <w:kern w:val="0"/>
                <w:szCs w:val="21"/>
              </w:rPr>
            </w:pPr>
          </w:p>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社会效益</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社区服务水平</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c>
          <w:tcPr>
            <w:tcW w:w="3980" w:type="dxa"/>
            <w:shd w:val="clear" w:color="auto"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满意度</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196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社区满意度</w:t>
            </w:r>
          </w:p>
        </w:tc>
        <w:tc>
          <w:tcPr>
            <w:tcW w:w="70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3980" w:type="dxa"/>
            <w:shd w:val="clear" w:color="auto" w:fill="FFFFFF"/>
            <w:vAlign w:val="center"/>
          </w:tcPr>
          <w:p>
            <w:pPr>
              <w:widowControl/>
              <w:spacing w:line="240" w:lineRule="exact"/>
              <w:rPr>
                <w:rFonts w:ascii="仿宋" w:hAnsi="仿宋" w:eastAsia="仿宋" w:cs="仿宋"/>
                <w:color w:val="000000"/>
                <w:kern w:val="0"/>
                <w:szCs w:val="21"/>
              </w:rPr>
            </w:pPr>
            <w:r>
              <w:rPr>
                <w:rFonts w:hint="eastAsia" w:ascii="仿宋" w:hAnsi="仿宋" w:eastAsia="仿宋" w:cs="仿宋"/>
                <w:color w:val="000000"/>
                <w:kern w:val="0"/>
                <w:szCs w:val="21"/>
              </w:rPr>
              <w:t>社区满意度≥95%</w:t>
            </w:r>
          </w:p>
        </w:tc>
      </w:tr>
    </w:tbl>
    <w:p/>
    <w:p>
      <w:pPr>
        <w:numPr>
          <w:ilvl w:val="0"/>
          <w:numId w:val="2"/>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评价方法</w:t>
      </w:r>
    </w:p>
    <w:p>
      <w:pPr>
        <w:widowControl/>
        <w:ind w:firstLine="560" w:firstLineChars="200"/>
        <w:jc w:val="left"/>
        <w:rPr>
          <w:rFonts w:ascii="华文仿宋" w:hAnsi="华文仿宋" w:eastAsia="华文仿宋" w:cs="华文仿宋"/>
          <w:color w:val="000000"/>
          <w:kern w:val="0"/>
          <w:sz w:val="28"/>
          <w:szCs w:val="28"/>
          <w:lang w:bidi="ar"/>
        </w:rPr>
      </w:pPr>
      <w:r>
        <w:rPr>
          <w:rFonts w:hint="eastAsia" w:ascii="华文仿宋" w:hAnsi="华文仿宋" w:eastAsia="华文仿宋" w:cs="华文仿宋"/>
          <w:color w:val="000000"/>
          <w:kern w:val="0"/>
          <w:sz w:val="28"/>
          <w:szCs w:val="28"/>
          <w:lang w:bidi="ar"/>
        </w:rPr>
        <w:t>财政和部门评价的方法主要包括成本效益分析法、比较法、因素分析法、最低成本法、标杆管理法等。根据评价对象的具体情况，可采用一种或多种方法。</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（1）成本效益分析法。该项目将投入与产出、效益进行关联性分析的方法。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（2）比较法。该项目将实施情况与绩效目标、历史情况、不同部门和地区同类支出情况进行比较的方法。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（3）因素分析法。该项目综合分析影响绩效目标实现、实施效果的内外部因素的方法。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（4）最低成本法。该项目在绩效目标确定的前提下，成本最小者为优的办法。 </w:t>
      </w:r>
    </w:p>
    <w:p>
      <w:pPr>
        <w:widowControl/>
        <w:jc w:val="left"/>
        <w:rPr>
          <w:rFonts w:ascii="华文仿宋" w:hAnsi="华文仿宋" w:eastAsia="华文仿宋" w:cs="华文仿宋"/>
          <w:color w:val="000000"/>
          <w:kern w:val="0"/>
          <w:sz w:val="28"/>
          <w:szCs w:val="28"/>
          <w:lang w:bidi="ar"/>
        </w:rPr>
      </w:pPr>
      <w:r>
        <w:rPr>
          <w:rFonts w:hint="eastAsia" w:ascii="华文仿宋" w:hAnsi="华文仿宋" w:eastAsia="华文仿宋" w:cs="华文仿宋"/>
          <w:color w:val="000000"/>
          <w:kern w:val="0"/>
          <w:sz w:val="28"/>
          <w:szCs w:val="28"/>
          <w:lang w:bidi="ar"/>
        </w:rPr>
        <w:t xml:space="preserve">（5）标杆管理法。该项目以国内外同行业中较高的绩效水平为标杆进行评判的方法。 </w:t>
      </w:r>
    </w:p>
    <w:p>
      <w:pPr>
        <w:widowControl/>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4、评价标准</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绩效评价标准通常包括计划标准、行业标准、历史标准等，用于对绩效指标完成情况进行比较。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（1）计划标准。按照预先制定的目标、计划、预算、定额等作为评价标准。 </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（2）行业标准。参照国家公布的行业指标数据制定的评价标准来评价。</w:t>
      </w:r>
    </w:p>
    <w:p>
      <w:pPr>
        <w:widowControl/>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 xml:space="preserve">（3）历史标准。参照历史数据制定的评价标准，为体现绩效改进的原则，在可实现的条件下来确定相对较高的评价标准。 </w:t>
      </w:r>
    </w:p>
    <w:p>
      <w:pPr>
        <w:numPr>
          <w:ilvl w:val="0"/>
          <w:numId w:val="3"/>
        </w:numPr>
        <w:jc w:val="left"/>
        <w:rPr>
          <w:rFonts w:ascii="华文仿宋" w:hAnsi="华文仿宋" w:eastAsia="华文仿宋" w:cs="华文仿宋"/>
          <w:b/>
          <w:bCs/>
          <w:sz w:val="28"/>
          <w:szCs w:val="28"/>
        </w:rPr>
      </w:pPr>
      <w:r>
        <w:rPr>
          <w:rFonts w:hint="eastAsia" w:ascii="华文仿宋" w:hAnsi="华文仿宋" w:eastAsia="华文仿宋" w:cs="华文仿宋"/>
          <w:b/>
          <w:bCs/>
          <w:sz w:val="28"/>
          <w:szCs w:val="28"/>
        </w:rPr>
        <w:t>绩效评价工作过程</w:t>
      </w:r>
    </w:p>
    <w:p>
      <w:pPr>
        <w:widowControl/>
        <w:spacing w:line="600" w:lineRule="exact"/>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sz w:val="28"/>
          <w:szCs w:val="28"/>
        </w:rPr>
        <w:t>根据</w:t>
      </w:r>
      <w:r>
        <w:rPr>
          <w:rFonts w:hint="eastAsia" w:ascii="华文仿宋" w:hAnsi="华文仿宋" w:eastAsia="华文仿宋" w:cs="华文仿宋"/>
          <w:color w:val="000000"/>
          <w:kern w:val="0"/>
          <w:sz w:val="28"/>
          <w:szCs w:val="28"/>
          <w:lang w:bidi="ar"/>
        </w:rPr>
        <w:t>《中共江西省委江西省人民政府关于全面实施预算绩效管理的实施意见》、</w:t>
      </w:r>
      <w:r>
        <w:rPr>
          <w:rFonts w:hint="eastAsia" w:ascii="华文仿宋" w:hAnsi="华文仿宋" w:eastAsia="华文仿宋" w:cs="华文仿宋"/>
          <w:sz w:val="28"/>
          <w:szCs w:val="28"/>
        </w:rPr>
        <w:t>《中共南昌市委南昌市人民政府关于全面实施预算绩效管理的实施意见》及《南昌市财政项目支出绩效评价管理办法》，成立项目绩效评价工作小组，具体实施项目资金绩效评价工作。</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1、制定项目绩效评价工作方案，包括项目绩效评价实施方案、评价指标体系及评价标准、评价调查问卷、基础数据表、绩效评价资料清单等。</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根据制定的项目资金绩效评价工作方案，收集项目支出情况材料，前往项目实施地，通过现场评价方法进行绩效评价。包括收集、审核基础资料；开展现场核查，核实项目是否实施以及项目实施情况是否良好；对收集的证据运用科学的方法进行综合分析。</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3、根据分析后的情况评分，形成综合评价结果，将评价结果纳入已确定的各项指标临界区间进行比较，确定绩效评价等级。</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4、对项目资金绩效评价工作进行总结，将项目支出基本情况、绩效评价工作情况、评价分析及评价结果、评价等级、经验及做法、问题及建议等形成书面报告。</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5、建立绩效评价工作档案。根据档案管理的相关要求，建立项目绩效评价工作档案，单独保存所有评价过程中的文件证据及数据报告等资料。</w:t>
      </w:r>
    </w:p>
    <w:p>
      <w:pPr>
        <w:spacing w:line="580" w:lineRule="exact"/>
        <w:rPr>
          <w:rFonts w:ascii="仿宋_GB2312" w:hAnsi="仿宋_GB2312" w:eastAsia="仿宋_GB2312" w:cs="仿宋_GB2312"/>
          <w:b/>
          <w:bCs/>
          <w:sz w:val="32"/>
          <w:szCs w:val="32"/>
        </w:rPr>
      </w:pPr>
    </w:p>
    <w:p>
      <w:pPr>
        <w:spacing w:line="58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三、综合评价情况及评价结论（附相关评分表）</w:t>
      </w:r>
    </w:p>
    <w:p>
      <w:pPr>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（一）综合评价情况</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按照绩效评价指标体系，对 2022 年度红谷滩区基层政权建设和社区治理经费项目进行了绩效评价，总得分为 9</w:t>
      </w:r>
      <w:r>
        <w:rPr>
          <w:rFonts w:ascii="华文仿宋" w:hAnsi="华文仿宋" w:eastAsia="华文仿宋" w:cs="华文仿宋"/>
          <w:color w:val="000000"/>
          <w:kern w:val="0"/>
          <w:sz w:val="28"/>
          <w:szCs w:val="28"/>
          <w:lang w:bidi="ar"/>
        </w:rPr>
        <w:t>7</w:t>
      </w:r>
      <w:r>
        <w:rPr>
          <w:rFonts w:hint="eastAsia" w:ascii="华文仿宋" w:hAnsi="华文仿宋" w:eastAsia="华文仿宋" w:cs="华文仿宋"/>
          <w:color w:val="000000"/>
          <w:kern w:val="0"/>
          <w:sz w:val="28"/>
          <w:szCs w:val="28"/>
          <w:lang w:bidi="ar"/>
        </w:rPr>
        <w:t>分，详细见下表：</w:t>
      </w:r>
    </w:p>
    <w:tbl>
      <w:tblPr>
        <w:tblStyle w:val="8"/>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361"/>
        <w:gridCol w:w="596"/>
        <w:gridCol w:w="3243"/>
        <w:gridCol w:w="1418"/>
        <w:gridCol w:w="1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blHeader/>
          <w:jc w:val="center"/>
        </w:trPr>
        <w:tc>
          <w:tcPr>
            <w:tcW w:w="1141"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一级</w:t>
            </w:r>
          </w:p>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指标</w:t>
            </w:r>
          </w:p>
        </w:tc>
        <w:tc>
          <w:tcPr>
            <w:tcW w:w="1361"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二级指标</w:t>
            </w:r>
          </w:p>
        </w:tc>
        <w:tc>
          <w:tcPr>
            <w:tcW w:w="596"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分</w:t>
            </w:r>
          </w:p>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值</w:t>
            </w:r>
          </w:p>
        </w:tc>
        <w:tc>
          <w:tcPr>
            <w:tcW w:w="3243"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三级指标</w:t>
            </w:r>
          </w:p>
        </w:tc>
        <w:tc>
          <w:tcPr>
            <w:tcW w:w="1418"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分值</w:t>
            </w:r>
          </w:p>
        </w:tc>
        <w:tc>
          <w:tcPr>
            <w:tcW w:w="1988" w:type="dxa"/>
            <w:shd w:val="clear" w:color="auto" w:fill="FFFFFF"/>
            <w:vAlign w:val="center"/>
          </w:tcPr>
          <w:p>
            <w:pPr>
              <w:widowControl/>
              <w:jc w:val="center"/>
              <w:rPr>
                <w:rFonts w:ascii="仿宋" w:hAnsi="仿宋" w:eastAsia="仿宋" w:cs="仿宋"/>
                <w:bCs/>
                <w:color w:val="000000"/>
                <w:kern w:val="0"/>
                <w:szCs w:val="21"/>
              </w:rPr>
            </w:pPr>
            <w:r>
              <w:rPr>
                <w:rFonts w:hint="eastAsia" w:ascii="仿宋" w:hAnsi="仿宋" w:eastAsia="仿宋" w:cs="仿宋"/>
                <w:bCs/>
                <w:color w:val="000000"/>
                <w:kern w:val="0"/>
                <w:szCs w:val="21"/>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决策　</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w:t>
            </w:r>
          </w:p>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（15分）　</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项目立项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立项依据充分性</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立项程序规范性</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绩效目标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6</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绩效目标合理性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绩效指标明确性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资金投入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预算编制科学性</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auto" w:fill="FFFFFF"/>
            <w:vAlign w:val="center"/>
          </w:tcPr>
          <w:p>
            <w:pPr>
              <w:widowControl/>
              <w:spacing w:line="240" w:lineRule="exact"/>
              <w:jc w:val="center"/>
              <w:rPr>
                <w:rFonts w:ascii="仿宋" w:hAnsi="仿宋" w:eastAsia="仿宋" w:cs="仿宋"/>
                <w:kern w:val="0"/>
                <w:szCs w:val="21"/>
              </w:rPr>
            </w:pPr>
            <w:r>
              <w:rPr>
                <w:rFonts w:hint="eastAsia" w:ascii="仿宋" w:hAnsi="仿宋" w:eastAsia="仿宋" w:cs="仿宋"/>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资金分配合理性</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141" w:type="dxa"/>
            <w:vMerge w:val="restart"/>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过程</w:t>
            </w:r>
          </w:p>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（15分）</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资金管理</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8</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资金到位率</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预算执行率</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资金使用合规性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组织实施　</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7</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管理制度健全性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制度执行有效性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w:t>
            </w:r>
          </w:p>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（40分）</w:t>
            </w:r>
          </w:p>
        </w:tc>
        <w:tc>
          <w:tcPr>
            <w:tcW w:w="136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产出数量</w:t>
            </w:r>
          </w:p>
        </w:tc>
        <w:tc>
          <w:tcPr>
            <w:tcW w:w="596"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完成社区治理数量</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596"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kern w:val="0"/>
                <w:szCs w:val="21"/>
              </w:rPr>
              <w:t>完成社区政权建设数量</w:t>
            </w:r>
          </w:p>
        </w:tc>
        <w:tc>
          <w:tcPr>
            <w:tcW w:w="1418" w:type="dxa"/>
            <w:shd w:val="clear" w:color="000000" w:fill="FFFFFF"/>
            <w:vAlign w:val="center"/>
          </w:tcPr>
          <w:p>
            <w:pPr>
              <w:widowControl/>
              <w:spacing w:line="240" w:lineRule="exact"/>
              <w:jc w:val="center"/>
              <w:rPr>
                <w:rFonts w:ascii="仿宋" w:hAnsi="仿宋" w:eastAsia="仿宋" w:cs="仿宋"/>
                <w:kern w:val="0"/>
                <w:szCs w:val="21"/>
              </w:rPr>
            </w:pPr>
            <w:r>
              <w:rPr>
                <w:rFonts w:hint="eastAsia" w:ascii="仿宋" w:hAnsi="仿宋" w:eastAsia="仿宋" w:cs="仿宋"/>
                <w:kern w:val="0"/>
                <w:szCs w:val="21"/>
              </w:rPr>
              <w:t>5</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产出质量</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项目执行达标率</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41" w:type="dxa"/>
            <w:vMerge w:val="continue"/>
            <w:shd w:val="clear" w:color="auto" w:fill="FFFFFF"/>
            <w:vAlign w:val="center"/>
          </w:tcPr>
          <w:p>
            <w:pPr>
              <w:spacing w:line="240" w:lineRule="exact"/>
              <w:jc w:val="center"/>
              <w:rPr>
                <w:rFonts w:ascii="仿宋" w:hAnsi="仿宋" w:eastAsia="仿宋" w:cs="仿宋"/>
                <w:color w:val="000000"/>
                <w:kern w:val="0"/>
                <w:szCs w:val="21"/>
              </w:rPr>
            </w:pPr>
          </w:p>
        </w:tc>
        <w:tc>
          <w:tcPr>
            <w:tcW w:w="1361" w:type="dxa"/>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产出时效</w:t>
            </w:r>
          </w:p>
        </w:tc>
        <w:tc>
          <w:tcPr>
            <w:tcW w:w="596" w:type="dxa"/>
            <w:shd w:val="clear" w:color="auto" w:fill="FFFFFF"/>
            <w:vAlign w:val="center"/>
          </w:tcPr>
          <w:p>
            <w:pPr>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各项工作完成及时性</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产出成本</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项目资金费用</w:t>
            </w:r>
          </w:p>
        </w:tc>
        <w:tc>
          <w:tcPr>
            <w:tcW w:w="141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5</w:t>
            </w:r>
          </w:p>
        </w:tc>
        <w:tc>
          <w:tcPr>
            <w:tcW w:w="1988" w:type="dxa"/>
            <w:shd w:val="clear" w:color="000000" w:fill="FFFFFF"/>
            <w:vAlign w:val="center"/>
          </w:tcPr>
          <w:p>
            <w:pPr>
              <w:widowControl/>
              <w:spacing w:line="240" w:lineRule="exact"/>
              <w:jc w:val="center"/>
              <w:rPr>
                <w:rFonts w:ascii="仿宋" w:hAnsi="仿宋" w:eastAsia="仿宋" w:cs="仿宋"/>
                <w:color w:val="000000"/>
                <w:kern w:val="0"/>
                <w:szCs w:val="21"/>
              </w:rPr>
            </w:pPr>
            <w:r>
              <w:rPr>
                <w:rFonts w:ascii="仿宋" w:hAnsi="仿宋" w:eastAsia="仿宋" w:cs="仿宋"/>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41" w:type="dxa"/>
            <w:vMerge w:val="restart"/>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效益</w:t>
            </w:r>
          </w:p>
          <w:p>
            <w:pPr>
              <w:pStyle w:val="4"/>
              <w:rPr>
                <w:sz w:val="21"/>
                <w:szCs w:val="21"/>
              </w:rPr>
            </w:pPr>
            <w:r>
              <w:rPr>
                <w:rFonts w:hint="eastAsia" w:eastAsia="仿宋" w:cs="仿宋"/>
                <w:color w:val="000000"/>
                <w:kern w:val="0"/>
                <w:sz w:val="21"/>
                <w:szCs w:val="21"/>
              </w:rPr>
              <w:t>（30分）</w:t>
            </w:r>
          </w:p>
          <w:p>
            <w:pPr>
              <w:widowControl/>
              <w:spacing w:line="240" w:lineRule="exact"/>
              <w:jc w:val="center"/>
              <w:rPr>
                <w:rFonts w:ascii="仿宋" w:hAnsi="仿宋" w:eastAsia="仿宋" w:cs="仿宋"/>
                <w:color w:val="000000"/>
                <w:kern w:val="0"/>
                <w:szCs w:val="21"/>
              </w:rPr>
            </w:pPr>
          </w:p>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社会效益</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该项目执行带来的社会效益产值</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141" w:type="dxa"/>
            <w:vMerge w:val="continue"/>
            <w:shd w:val="clear" w:color="auto" w:fill="FFFFFF"/>
            <w:vAlign w:val="center"/>
          </w:tcPr>
          <w:p>
            <w:pPr>
              <w:widowControl/>
              <w:spacing w:line="240" w:lineRule="exact"/>
              <w:jc w:val="center"/>
              <w:rPr>
                <w:rFonts w:ascii="仿宋" w:hAnsi="仿宋" w:eastAsia="仿宋" w:cs="仿宋"/>
                <w:color w:val="000000"/>
                <w:kern w:val="0"/>
                <w:szCs w:val="21"/>
              </w:rPr>
            </w:pPr>
          </w:p>
        </w:tc>
        <w:tc>
          <w:tcPr>
            <w:tcW w:w="1361"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满意度</w:t>
            </w:r>
          </w:p>
        </w:tc>
        <w:tc>
          <w:tcPr>
            <w:tcW w:w="596"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3243"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社区满意度</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341" w:type="dxa"/>
            <w:gridSpan w:val="4"/>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总分（100分）</w:t>
            </w:r>
          </w:p>
        </w:tc>
        <w:tc>
          <w:tcPr>
            <w:tcW w:w="1418" w:type="dxa"/>
            <w:shd w:val="clear" w:color="auto" w:fill="FFFFFF"/>
            <w:vAlign w:val="center"/>
          </w:tcPr>
          <w:p>
            <w:pPr>
              <w:widowControl/>
              <w:spacing w:line="240" w:lineRule="exact"/>
              <w:jc w:val="center"/>
              <w:rPr>
                <w:rFonts w:ascii="仿宋" w:hAnsi="仿宋" w:eastAsia="仿宋" w:cs="仿宋"/>
                <w:color w:val="000000"/>
                <w:kern w:val="0"/>
                <w:szCs w:val="21"/>
              </w:rPr>
            </w:pPr>
          </w:p>
        </w:tc>
        <w:tc>
          <w:tcPr>
            <w:tcW w:w="1988" w:type="dxa"/>
            <w:shd w:val="clear" w:color="auto" w:fill="FFFFFF"/>
            <w:vAlign w:val="center"/>
          </w:tcPr>
          <w:p>
            <w:pPr>
              <w:widowControl/>
              <w:spacing w:line="240" w:lineRule="exact"/>
              <w:jc w:val="center"/>
              <w:rPr>
                <w:rFonts w:ascii="仿宋" w:hAnsi="仿宋" w:eastAsia="仿宋" w:cs="仿宋"/>
                <w:color w:val="000000"/>
                <w:kern w:val="0"/>
                <w:szCs w:val="21"/>
              </w:rPr>
            </w:pPr>
            <w:r>
              <w:rPr>
                <w:rFonts w:hint="eastAsia" w:ascii="仿宋" w:hAnsi="仿宋" w:eastAsia="仿宋" w:cs="仿宋"/>
                <w:color w:val="000000"/>
                <w:kern w:val="0"/>
                <w:szCs w:val="21"/>
              </w:rPr>
              <w:t>9</w:t>
            </w:r>
            <w:r>
              <w:rPr>
                <w:rFonts w:ascii="仿宋" w:hAnsi="仿宋" w:eastAsia="仿宋" w:cs="仿宋"/>
                <w:color w:val="000000"/>
                <w:kern w:val="0"/>
                <w:szCs w:val="21"/>
              </w:rPr>
              <w:t>7</w:t>
            </w:r>
          </w:p>
        </w:tc>
      </w:tr>
    </w:tbl>
    <w:p>
      <w:pPr>
        <w:widowControl/>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（二）评价结论</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项目立项程序充分合理，绩效目标设置合理可行。项目管理情况总体良好，资金投入充分，相关程序合规，组织实施运行顺畅。</w:t>
      </w:r>
    </w:p>
    <w:p>
      <w:pPr>
        <w:widowControl/>
        <w:jc w:val="left"/>
      </w:pPr>
    </w:p>
    <w:p>
      <w:pPr>
        <w:spacing w:line="580" w:lineRule="exact"/>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四、绩效评价指标分析</w:t>
      </w:r>
    </w:p>
    <w:p>
      <w:pPr>
        <w:widowControl/>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（一）项目决策情况</w:t>
      </w:r>
    </w:p>
    <w:p>
      <w:pPr>
        <w:widowControl/>
        <w:ind w:firstLine="562" w:firstLineChars="200"/>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1、项目立项</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为了加强红谷滩区民政局项目预算管理，提升预算科学化、精细化管理水平，提高项目资金使用效益，根据《</w:t>
      </w:r>
      <w:r>
        <w:rPr>
          <w:rFonts w:hint="eastAsia" w:ascii="华文仿宋" w:hAnsi="华文仿宋" w:eastAsia="华文仿宋" w:cs="华文仿宋"/>
          <w:color w:val="000000"/>
          <w:kern w:val="0"/>
          <w:sz w:val="28"/>
          <w:szCs w:val="28"/>
          <w:lang w:val="en-US" w:eastAsia="zh-CN" w:bidi="ar"/>
        </w:rPr>
        <w:t>中华人民共和国</w:t>
      </w:r>
      <w:r>
        <w:rPr>
          <w:rFonts w:hint="eastAsia" w:ascii="华文仿宋" w:hAnsi="华文仿宋" w:eastAsia="华文仿宋" w:cs="华文仿宋"/>
          <w:color w:val="000000"/>
          <w:kern w:val="0"/>
          <w:sz w:val="28"/>
          <w:szCs w:val="28"/>
          <w:lang w:bidi="ar"/>
        </w:rPr>
        <w:t xml:space="preserve">预算法》和红谷滩区财政局相关规定，评审中心承担了项目评审工作，项目立项依据充分、合规，故立项依据充分性、规范性指标得满分。 </w:t>
      </w:r>
    </w:p>
    <w:p>
      <w:pPr>
        <w:widowControl/>
        <w:ind w:firstLine="562" w:firstLineChars="200"/>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2、绩效目标</w:t>
      </w:r>
    </w:p>
    <w:p>
      <w:pPr>
        <w:widowControl/>
        <w:ind w:firstLine="560" w:firstLineChars="200"/>
        <w:jc w:val="left"/>
        <w:rPr>
          <w:rFonts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经局领导与评审中心专家评估，该项目设定了总体绩效指标，项目绩效目标与实际工作内容具有相关性；项目预</w:t>
      </w:r>
      <w:r>
        <w:rPr>
          <w:rFonts w:hint="eastAsia" w:ascii="华文仿宋" w:hAnsi="华文仿宋" w:eastAsia="华文仿宋" w:cs="华文仿宋"/>
          <w:sz w:val="28"/>
          <w:szCs w:val="28"/>
        </w:rPr>
        <w:t>期产出效益和效果符合正常的业绩水平；与预算确定的项目投资额或资金量相匹配。因此该绩效目标合理、明确，满分。</w:t>
      </w:r>
    </w:p>
    <w:p>
      <w:pPr>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3、资金投入</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经评价，预算编制经过科学论证，与项目内容匹配；预算额度测算能力有待提高；预算确定的项目投资额或资金量与工作任务相匹配，分配合理，该项满分。</w:t>
      </w:r>
    </w:p>
    <w:p>
      <w:pPr>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（二）项目过程情况</w:t>
      </w:r>
    </w:p>
    <w:p>
      <w:pPr>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1、资金管理</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（1）资金到位率</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该项目预算资金1</w:t>
      </w:r>
      <w:r>
        <w:rPr>
          <w:rFonts w:ascii="华文仿宋" w:hAnsi="华文仿宋" w:eastAsia="华文仿宋" w:cs="华文仿宋"/>
          <w:sz w:val="28"/>
          <w:szCs w:val="28"/>
        </w:rPr>
        <w:t>95.1</w:t>
      </w:r>
      <w:r>
        <w:rPr>
          <w:rFonts w:hint="eastAsia" w:ascii="华文仿宋" w:hAnsi="华文仿宋" w:eastAsia="华文仿宋" w:cs="华文仿宋"/>
          <w:sz w:val="28"/>
          <w:szCs w:val="28"/>
        </w:rPr>
        <w:t>万元，实际到位资金1</w:t>
      </w:r>
      <w:r>
        <w:rPr>
          <w:rFonts w:ascii="华文仿宋" w:hAnsi="华文仿宋" w:eastAsia="华文仿宋" w:cs="华文仿宋"/>
          <w:sz w:val="28"/>
          <w:szCs w:val="28"/>
        </w:rPr>
        <w:t>95.1</w:t>
      </w:r>
      <w:r>
        <w:rPr>
          <w:rFonts w:hint="eastAsia" w:ascii="华文仿宋" w:hAnsi="华文仿宋" w:eastAsia="华文仿宋" w:cs="华文仿宋"/>
          <w:sz w:val="28"/>
          <w:szCs w:val="28"/>
        </w:rPr>
        <w:t>万元；资金到位率100%。依据指标评分标准，该项指标得2分。</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（2）预算执行率</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2022年度该项目实际支出1</w:t>
      </w:r>
      <w:r>
        <w:rPr>
          <w:rFonts w:ascii="华文仿宋" w:hAnsi="华文仿宋" w:eastAsia="华文仿宋" w:cs="华文仿宋"/>
          <w:sz w:val="28"/>
          <w:szCs w:val="28"/>
        </w:rPr>
        <w:t>70.03</w:t>
      </w:r>
      <w:r>
        <w:rPr>
          <w:rFonts w:hint="eastAsia" w:ascii="华文仿宋" w:hAnsi="华文仿宋" w:eastAsia="华文仿宋" w:cs="华文仿宋"/>
          <w:sz w:val="28"/>
          <w:szCs w:val="28"/>
        </w:rPr>
        <w:t>万元，预算执行率为</w:t>
      </w:r>
      <w:r>
        <w:rPr>
          <w:rFonts w:ascii="华文仿宋" w:hAnsi="华文仿宋" w:eastAsia="华文仿宋" w:cs="华文仿宋"/>
          <w:sz w:val="28"/>
          <w:szCs w:val="28"/>
        </w:rPr>
        <w:t>87.15</w:t>
      </w:r>
      <w:r>
        <w:rPr>
          <w:rFonts w:hint="eastAsia" w:ascii="华文仿宋" w:hAnsi="华文仿宋" w:eastAsia="华文仿宋" w:cs="华文仿宋"/>
          <w:sz w:val="28"/>
          <w:szCs w:val="28"/>
        </w:rPr>
        <w:t>%，预算执行产生偏差，未全部完成。依据指标评分标准，该项指标得2分。</w:t>
      </w:r>
    </w:p>
    <w:p>
      <w:pPr>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（3）资金使用合规性</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经现场核查，未发现截留、挤占、挪用、虚列支出等情况，资金使用合规性较好。依据指标评分标准，该项指标满分。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2、组织实施</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按照相关办法，管理制度合法、合规、但制度的健全性表现的不够完整，过程管理相对薄弱，因此该项得5分。</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（三）项目产出情况</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1、产出数量</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截至2022年12月底，基层政权建设和社区治理的数量到达要求数量，该项指标满分。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2、产出质量</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社区治理质量达标率达到要求。该项指标满分。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3、产出时效</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资金拨付能按时完成。该项指标满分。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4、产出成本</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费用实际支出1</w:t>
      </w:r>
      <w:r>
        <w:rPr>
          <w:rFonts w:ascii="华文仿宋" w:hAnsi="华文仿宋" w:eastAsia="华文仿宋" w:cs="华文仿宋"/>
          <w:sz w:val="28"/>
          <w:szCs w:val="28"/>
        </w:rPr>
        <w:t>70.03</w:t>
      </w:r>
      <w:r>
        <w:rPr>
          <w:rFonts w:hint="eastAsia" w:ascii="华文仿宋" w:hAnsi="华文仿宋" w:eastAsia="华文仿宋" w:cs="华文仿宋"/>
          <w:sz w:val="28"/>
          <w:szCs w:val="28"/>
        </w:rPr>
        <w:t>万元，按年初预算全额完成，该项指标评分</w:t>
      </w:r>
      <w:r>
        <w:rPr>
          <w:rFonts w:ascii="华文仿宋" w:hAnsi="华文仿宋" w:eastAsia="华文仿宋" w:cs="华文仿宋"/>
          <w:sz w:val="28"/>
          <w:szCs w:val="28"/>
        </w:rPr>
        <w:t>4</w:t>
      </w:r>
      <w:r>
        <w:rPr>
          <w:rFonts w:hint="eastAsia" w:ascii="华文仿宋" w:hAnsi="华文仿宋" w:eastAsia="华文仿宋" w:cs="华文仿宋"/>
          <w:sz w:val="28"/>
          <w:szCs w:val="28"/>
        </w:rPr>
        <w:t>分（总分5分）</w:t>
      </w:r>
    </w:p>
    <w:p>
      <w:pPr>
        <w:widowControl/>
        <w:jc w:val="left"/>
        <w:rPr>
          <w:rFonts w:ascii="华文仿宋" w:hAnsi="华文仿宋" w:eastAsia="华文仿宋" w:cs="华文仿宋"/>
          <w:b/>
          <w:bCs/>
          <w:color w:val="000000"/>
          <w:kern w:val="0"/>
          <w:sz w:val="28"/>
          <w:szCs w:val="28"/>
          <w:lang w:bidi="ar"/>
        </w:rPr>
      </w:pPr>
      <w:r>
        <w:rPr>
          <w:rFonts w:hint="eastAsia" w:ascii="华文仿宋" w:hAnsi="华文仿宋" w:eastAsia="华文仿宋" w:cs="华文仿宋"/>
          <w:b/>
          <w:bCs/>
          <w:color w:val="000000"/>
          <w:kern w:val="0"/>
          <w:sz w:val="28"/>
          <w:szCs w:val="28"/>
          <w:lang w:bidi="ar"/>
        </w:rPr>
        <w:t>（四）项目效益情况</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1、效益情况</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社区社会服务水平提升。该项指标满分。</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2、满意度情况</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社区群众满意度&gt;</w:t>
      </w:r>
      <w:r>
        <w:rPr>
          <w:rFonts w:ascii="华文仿宋" w:hAnsi="华文仿宋" w:eastAsia="华文仿宋" w:cs="华文仿宋"/>
          <w:sz w:val="28"/>
          <w:szCs w:val="28"/>
        </w:rPr>
        <w:t>=</w:t>
      </w:r>
      <w:r>
        <w:rPr>
          <w:rFonts w:hint="eastAsia" w:ascii="华文仿宋" w:hAnsi="华文仿宋" w:eastAsia="华文仿宋" w:cs="华文仿宋"/>
          <w:sz w:val="28"/>
          <w:szCs w:val="28"/>
        </w:rPr>
        <w:t>95%。依据指标评分标准，该项指标得满分。</w:t>
      </w:r>
    </w:p>
    <w:p/>
    <w:p>
      <w:pPr>
        <w:jc w:val="left"/>
        <w:rPr>
          <w:rFonts w:ascii="仿宋" w:hAnsi="仿宋" w:eastAsia="仿宋" w:cs="仿宋_GB2312"/>
          <w:b/>
          <w:bCs/>
          <w:sz w:val="32"/>
          <w:szCs w:val="40"/>
        </w:rPr>
      </w:pPr>
      <w:r>
        <w:rPr>
          <w:rFonts w:hint="eastAsia" w:ascii="仿宋" w:hAnsi="仿宋" w:eastAsia="仿宋" w:cs="仿宋_GB2312"/>
          <w:b/>
          <w:bCs/>
          <w:sz w:val="32"/>
          <w:szCs w:val="40"/>
        </w:rPr>
        <w:t>五、主要经验及做法、存在的问题及原因分析</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（一）主要经验做法</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1、健全体系，完善机制，强化考核管理。</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健全评审管理体系，强化绩效评价引导，提升项目资金效益。将评价结果与项目经费挂钩，并将其作为全年目标评价结果的重要依据，有效推进项目工作开展。</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2、坚持业务指导，强化技术支撑。</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将继续以扩大覆盖面、提高服务水平为出发点，分层分级、层层开展项目培训，强化评审中心的技术支撑。</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sz w:val="28"/>
          <w:szCs w:val="28"/>
        </w:rPr>
        <w:t>（</w:t>
      </w:r>
      <w:r>
        <w:rPr>
          <w:rFonts w:hint="eastAsia" w:ascii="华文仿宋" w:hAnsi="华文仿宋" w:eastAsia="华文仿宋" w:cs="华文仿宋"/>
          <w:b/>
          <w:bCs/>
          <w:sz w:val="28"/>
          <w:szCs w:val="28"/>
        </w:rPr>
        <w:t>二）存在的问题及原因分析</w:t>
      </w:r>
    </w:p>
    <w:p>
      <w:pPr>
        <w:adjustRightInd w:val="0"/>
        <w:snapToGrid w:val="0"/>
        <w:spacing w:line="580" w:lineRule="exact"/>
        <w:ind w:firstLine="562" w:firstLineChars="200"/>
        <w:rPr>
          <w:rFonts w:ascii="华文仿宋" w:hAnsi="华文仿宋" w:eastAsia="华文仿宋" w:cs="华文仿宋"/>
          <w:b/>
          <w:bCs/>
          <w:sz w:val="28"/>
          <w:szCs w:val="28"/>
        </w:rPr>
      </w:pPr>
      <w:r>
        <w:rPr>
          <w:rFonts w:hint="eastAsia" w:ascii="华文仿宋" w:hAnsi="华文仿宋" w:eastAsia="华文仿宋" w:cs="华文仿宋"/>
          <w:b/>
          <w:bCs/>
          <w:sz w:val="28"/>
          <w:szCs w:val="28"/>
        </w:rPr>
        <w:t>1、管理薄弱、目标跟踪不及时</w:t>
      </w:r>
    </w:p>
    <w:p>
      <w:pPr>
        <w:adjustRightInd w:val="0"/>
        <w:snapToGrid w:val="0"/>
        <w:spacing w:line="580" w:lineRule="exact"/>
        <w:ind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项目评审过程管理相对薄弱，评价机制落实不到位。另受2</w:t>
      </w:r>
      <w:r>
        <w:rPr>
          <w:rFonts w:ascii="华文仿宋" w:hAnsi="华文仿宋" w:eastAsia="华文仿宋" w:cs="华文仿宋"/>
          <w:sz w:val="28"/>
          <w:szCs w:val="28"/>
        </w:rPr>
        <w:t>022</w:t>
      </w:r>
      <w:r>
        <w:rPr>
          <w:rFonts w:hint="eastAsia" w:ascii="华文仿宋" w:hAnsi="华文仿宋" w:eastAsia="华文仿宋" w:cs="华文仿宋"/>
          <w:sz w:val="28"/>
          <w:szCs w:val="28"/>
        </w:rPr>
        <w:t>年南昌疫情影响，部分项目费用支出发生滞后，督导力度不够强，导致影响项目的正常建设运行。</w:t>
      </w:r>
    </w:p>
    <w:p/>
    <w:p>
      <w:pPr>
        <w:jc w:val="left"/>
        <w:rPr>
          <w:rFonts w:ascii="仿宋" w:hAnsi="仿宋" w:eastAsia="仿宋" w:cs="仿宋_GB2312"/>
          <w:b/>
          <w:bCs/>
          <w:sz w:val="32"/>
          <w:szCs w:val="40"/>
        </w:rPr>
      </w:pPr>
      <w:r>
        <w:rPr>
          <w:rFonts w:hint="eastAsia" w:ascii="仿宋" w:hAnsi="仿宋" w:eastAsia="仿宋" w:cs="仿宋_GB2312"/>
          <w:b/>
          <w:bCs/>
          <w:sz w:val="32"/>
          <w:szCs w:val="40"/>
        </w:rPr>
        <w:t>六、有关建议</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（一）提升绩效管理意识，加强绩效业务学习</w:t>
      </w:r>
    </w:p>
    <w:p>
      <w:pPr>
        <w:pStyle w:val="4"/>
        <w:ind w:firstLine="560" w:firstLineChars="200"/>
        <w:rPr>
          <w:rFonts w:ascii="华文仿宋" w:hAnsi="华文仿宋" w:eastAsia="华文仿宋" w:cs="华文仿宋"/>
        </w:rPr>
      </w:pPr>
      <w:r>
        <w:rPr>
          <w:rFonts w:hint="eastAsia" w:ascii="华文仿宋" w:hAnsi="华文仿宋" w:eastAsia="华文仿宋" w:cs="华文仿宋"/>
        </w:rPr>
        <w:t>2023年，我们将加强财政绩效管理系统的学习，牢固树立绩效目标意识，保持目标和实际工作的一致性，目标申报要根据实际情况进行，要科学、合理、高效、专业的设置工作绩效目标。通过将目标分解细化，能够较好明确各项工作任务，以及应当达到的实施标准，指导项目实施方向。</w:t>
      </w:r>
    </w:p>
    <w:p>
      <w:pPr>
        <w:adjustRightInd w:val="0"/>
        <w:snapToGrid w:val="0"/>
        <w:spacing w:line="580" w:lineRule="exact"/>
        <w:rPr>
          <w:rFonts w:ascii="华文仿宋" w:hAnsi="华文仿宋" w:eastAsia="华文仿宋" w:cs="华文仿宋"/>
          <w:b/>
          <w:bCs/>
          <w:sz w:val="28"/>
          <w:szCs w:val="28"/>
        </w:rPr>
      </w:pPr>
      <w:r>
        <w:rPr>
          <w:rFonts w:hint="eastAsia" w:ascii="华文仿宋" w:hAnsi="华文仿宋" w:eastAsia="华文仿宋" w:cs="华文仿宋"/>
          <w:b/>
          <w:bCs/>
          <w:sz w:val="28"/>
          <w:szCs w:val="28"/>
        </w:rPr>
        <w:t>（二）强化评价机制，加大督导力度</w:t>
      </w:r>
    </w:p>
    <w:p>
      <w:pPr>
        <w:pStyle w:val="4"/>
        <w:ind w:firstLine="560" w:firstLineChars="200"/>
        <w:rPr>
          <w:rFonts w:ascii="华文仿宋" w:hAnsi="华文仿宋" w:eastAsia="华文仿宋" w:cs="华文仿宋"/>
        </w:rPr>
      </w:pPr>
      <w:r>
        <w:rPr>
          <w:rFonts w:hint="eastAsia" w:ascii="华文仿宋" w:hAnsi="华文仿宋" w:eastAsia="华文仿宋" w:cs="华文仿宋"/>
        </w:rPr>
        <w:t>严格按照我区财政评审管理办法，将各项工作任务指标下沉到各个机构、各个具体责任人，同时加强督导力度，定期开展绩效评价工作，确保定时定量完成。</w:t>
      </w:r>
    </w:p>
    <w:p>
      <w:pPr>
        <w:pStyle w:val="4"/>
        <w:ind w:firstLine="560" w:firstLineChars="200"/>
        <w:rPr>
          <w:rFonts w:ascii="华文仿宋" w:hAnsi="华文仿宋" w:eastAsia="华文仿宋" w:cs="华文仿宋"/>
        </w:rPr>
      </w:pPr>
    </w:p>
    <w:p>
      <w:pPr>
        <w:jc w:val="left"/>
        <w:rPr>
          <w:rFonts w:ascii="仿宋" w:hAnsi="仿宋" w:eastAsia="仿宋" w:cs="仿宋_GB2312"/>
          <w:b/>
          <w:bCs/>
          <w:sz w:val="32"/>
          <w:szCs w:val="40"/>
        </w:rPr>
      </w:pPr>
      <w:r>
        <w:rPr>
          <w:rFonts w:hint="eastAsia" w:ascii="仿宋" w:hAnsi="仿宋" w:eastAsia="仿宋" w:cs="仿宋_GB2312"/>
          <w:b/>
          <w:bCs/>
          <w:sz w:val="32"/>
          <w:szCs w:val="40"/>
        </w:rPr>
        <w:t>七、其他需要说明的问题</w:t>
      </w:r>
    </w:p>
    <w:p>
      <w:pPr>
        <w:jc w:val="left"/>
        <w:rPr>
          <w:rFonts w:ascii="仿宋" w:hAnsi="仿宋" w:eastAsia="仿宋" w:cs="仿宋_GB2312"/>
          <w:sz w:val="28"/>
          <w:szCs w:val="28"/>
        </w:rPr>
      </w:pPr>
      <w:r>
        <w:rPr>
          <w:rFonts w:hint="eastAsia" w:ascii="仿宋" w:hAnsi="仿宋" w:eastAsia="仿宋" w:cs="仿宋_GB2312"/>
          <w:sz w:val="28"/>
          <w:szCs w:val="28"/>
        </w:rPr>
        <w:t>无</w:t>
      </w:r>
    </w:p>
    <w:p>
      <w:pPr>
        <w:pStyle w:val="2"/>
        <w:rPr>
          <w:rFonts w:hint="default" w:ascii="仿宋" w:hAnsi="仿宋" w:eastAsia="仿宋" w:cs="仿宋_GB2312"/>
          <w:sz w:val="28"/>
          <w:szCs w:val="28"/>
        </w:rPr>
      </w:pPr>
    </w:p>
    <w:p/>
    <w:p>
      <w:pPr>
        <w:pStyle w:val="5"/>
        <w:rPr>
          <w:rFonts w:ascii="仿宋" w:hAnsi="仿宋" w:eastAsia="仿宋" w:cs="仿宋"/>
          <w:sz w:val="28"/>
          <w:szCs w:val="28"/>
        </w:rPr>
      </w:pPr>
      <w:r>
        <w:rPr>
          <w:rFonts w:hint="eastAsia"/>
        </w:rPr>
        <w:t xml:space="preserve">                                      </w:t>
      </w:r>
      <w:r>
        <w:rPr>
          <w:rFonts w:hint="eastAsia" w:ascii="华文仿宋" w:hAnsi="华文仿宋" w:eastAsia="华文仿宋" w:cs="华文仿宋"/>
          <w:sz w:val="28"/>
          <w:szCs w:val="28"/>
        </w:rPr>
        <w:t xml:space="preserve">       </w:t>
      </w:r>
      <w:r>
        <w:rPr>
          <w:rFonts w:ascii="华文仿宋" w:hAnsi="华文仿宋" w:eastAsia="华文仿宋" w:cs="华文仿宋"/>
          <w:sz w:val="28"/>
          <w:szCs w:val="28"/>
        </w:rPr>
        <w:tab/>
      </w:r>
      <w:r>
        <w:rPr>
          <w:rFonts w:ascii="华文仿宋" w:hAnsi="华文仿宋" w:eastAsia="华文仿宋" w:cs="华文仿宋"/>
          <w:sz w:val="28"/>
          <w:szCs w:val="28"/>
        </w:rPr>
        <w:tab/>
      </w:r>
      <w:r>
        <w:rPr>
          <w:rFonts w:ascii="华文仿宋" w:hAnsi="华文仿宋" w:eastAsia="华文仿宋" w:cs="华文仿宋"/>
          <w:sz w:val="28"/>
          <w:szCs w:val="28"/>
        </w:rPr>
        <w:tab/>
      </w:r>
      <w:r>
        <w:rPr>
          <w:rFonts w:ascii="华文仿宋" w:hAnsi="华文仿宋" w:eastAsia="华文仿宋" w:cs="华文仿宋"/>
          <w:sz w:val="28"/>
          <w:szCs w:val="28"/>
        </w:rPr>
        <w:tab/>
      </w:r>
      <w:r>
        <w:rPr>
          <w:rFonts w:hint="eastAsia" w:ascii="华文仿宋" w:hAnsi="华文仿宋" w:eastAsia="华文仿宋" w:cs="华文仿宋"/>
          <w:b/>
          <w:bCs/>
          <w:sz w:val="28"/>
          <w:szCs w:val="28"/>
        </w:rPr>
        <w:t xml:space="preserve"> </w:t>
      </w:r>
      <w:r>
        <w:rPr>
          <w:rFonts w:hint="eastAsia" w:ascii="仿宋" w:hAnsi="仿宋" w:eastAsia="仿宋" w:cs="仿宋"/>
          <w:color w:val="000000"/>
          <w:sz w:val="28"/>
          <w:szCs w:val="28"/>
        </w:rPr>
        <w:t>红谷滩民政局</w:t>
      </w:r>
    </w:p>
    <w:p>
      <w:pPr>
        <w:pStyle w:val="5"/>
        <w:ind w:left="280" w:firstLine="5600" w:firstLineChars="2000"/>
        <w:rPr>
          <w:rFonts w:ascii="仿宋" w:hAnsi="仿宋" w:eastAsia="仿宋" w:cs="仿宋"/>
          <w:sz w:val="28"/>
          <w:szCs w:val="28"/>
        </w:rPr>
      </w:pPr>
      <w:r>
        <w:rPr>
          <w:rFonts w:hint="eastAsia" w:ascii="仿宋" w:hAnsi="仿宋" w:eastAsia="仿宋" w:cs="仿宋"/>
          <w:sz w:val="28"/>
          <w:szCs w:val="28"/>
        </w:rPr>
        <w:t>2023年3月10日</w:t>
      </w:r>
    </w:p>
    <w:p>
      <w:pPr>
        <w:adjustRightInd w:val="0"/>
        <w:snapToGrid w:val="0"/>
        <w:spacing w:line="580" w:lineRule="exact"/>
        <w:rPr>
          <w:rFonts w:ascii="华文仿宋" w:hAnsi="华文仿宋" w:eastAsia="华文仿宋" w:cs="华文仿宋"/>
          <w:sz w:val="28"/>
          <w:szCs w:val="28"/>
        </w:rPr>
      </w:pPr>
    </w:p>
    <w:p>
      <w:pPr>
        <w:adjustRightInd w:val="0"/>
        <w:snapToGrid w:val="0"/>
        <w:spacing w:line="580" w:lineRule="exact"/>
        <w:ind w:firstLine="5320" w:firstLineChars="1900"/>
        <w:rPr>
          <w:rFonts w:ascii="华文仿宋" w:hAnsi="华文仿宋" w:eastAsia="华文仿宋" w:cs="华文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jaVu Sans">
    <w:altName w:val="Times New Roman"/>
    <w:panose1 w:val="00000000000000000000"/>
    <w:charset w:val="00"/>
    <w:family w:val="roman"/>
    <w:pitch w:val="default"/>
    <w:sig w:usb0="00000000" w:usb1="00000000" w:usb2="00000008" w:usb3="00000000" w:csb0="000001FF"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华文仿宋">
    <w:altName w:val="仿宋"/>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A3D0FE"/>
    <w:multiLevelType w:val="singleLevel"/>
    <w:tmpl w:val="A3A3D0FE"/>
    <w:lvl w:ilvl="0" w:tentative="0">
      <w:start w:val="1"/>
      <w:numFmt w:val="chineseCounting"/>
      <w:suff w:val="nothing"/>
      <w:lvlText w:val="（%1）"/>
      <w:lvlJc w:val="left"/>
      <w:pPr>
        <w:ind w:left="-420" w:firstLine="420"/>
      </w:pPr>
      <w:rPr>
        <w:rFonts w:hint="eastAsia"/>
      </w:rPr>
    </w:lvl>
  </w:abstractNum>
  <w:abstractNum w:abstractNumId="1">
    <w:nsid w:val="1CDEEFDE"/>
    <w:multiLevelType w:val="singleLevel"/>
    <w:tmpl w:val="1CDEEFDE"/>
    <w:lvl w:ilvl="0" w:tentative="0">
      <w:start w:val="2"/>
      <w:numFmt w:val="chineseCounting"/>
      <w:suff w:val="nothing"/>
      <w:lvlText w:val="（%1）"/>
      <w:lvlJc w:val="left"/>
      <w:rPr>
        <w:rFonts w:hint="eastAsia"/>
      </w:rPr>
    </w:lvl>
  </w:abstractNum>
  <w:abstractNum w:abstractNumId="2">
    <w:nsid w:val="33AE032E"/>
    <w:multiLevelType w:val="singleLevel"/>
    <w:tmpl w:val="33AE032E"/>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UwMTU2MmNkOTQyYjc3MmMxODMzZTdjNWYzMGQzYjcifQ=="/>
  </w:docVars>
  <w:rsids>
    <w:rsidRoot w:val="008C390E"/>
    <w:rsid w:val="00081BE5"/>
    <w:rsid w:val="000A74D3"/>
    <w:rsid w:val="000F6AF7"/>
    <w:rsid w:val="002131DC"/>
    <w:rsid w:val="00292D39"/>
    <w:rsid w:val="002E716D"/>
    <w:rsid w:val="00312D0B"/>
    <w:rsid w:val="00350E3B"/>
    <w:rsid w:val="00494D15"/>
    <w:rsid w:val="006E7CCA"/>
    <w:rsid w:val="00706A0C"/>
    <w:rsid w:val="007220C8"/>
    <w:rsid w:val="00772B65"/>
    <w:rsid w:val="007B3F19"/>
    <w:rsid w:val="00856674"/>
    <w:rsid w:val="0086246B"/>
    <w:rsid w:val="008C390E"/>
    <w:rsid w:val="008F163B"/>
    <w:rsid w:val="00983849"/>
    <w:rsid w:val="00AD2D12"/>
    <w:rsid w:val="00B84CF5"/>
    <w:rsid w:val="00CE4D39"/>
    <w:rsid w:val="00D65C89"/>
    <w:rsid w:val="00E60D62"/>
    <w:rsid w:val="00EB356B"/>
    <w:rsid w:val="00F036F1"/>
    <w:rsid w:val="00FB21B5"/>
    <w:rsid w:val="04CA4D62"/>
    <w:rsid w:val="07B56C15"/>
    <w:rsid w:val="0A1C1B8F"/>
    <w:rsid w:val="26CA6125"/>
    <w:rsid w:val="6B176287"/>
    <w:rsid w:val="6B514C91"/>
    <w:rsid w:val="7336224A"/>
    <w:rsid w:val="75862B01"/>
    <w:rsid w:val="776615B1"/>
    <w:rsid w:val="7EF44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0"/>
    <w:pPr>
      <w:keepNext/>
      <w:keepLines/>
      <w:spacing w:before="100" w:beforeLines="100" w:after="100" w:afterLines="100" w:line="480" w:lineRule="auto"/>
      <w:jc w:val="left"/>
      <w:outlineLvl w:val="1"/>
    </w:pPr>
    <w:rPr>
      <w:rFonts w:ascii="DejaVu Sans" w:hAnsi="DejaVu Sans"/>
      <w:b/>
      <w:kern w:val="0"/>
      <w:sz w:val="32"/>
      <w:szCs w:val="32"/>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unhideWhenUsed/>
    <w:qFormat/>
    <w:uiPriority w:val="99"/>
    <w:rPr>
      <w:rFonts w:ascii="仿宋" w:hAnsi="仿宋" w:cs="宋体"/>
      <w:sz w:val="28"/>
      <w:szCs w:val="28"/>
    </w:rPr>
  </w:style>
  <w:style w:type="paragraph" w:styleId="5">
    <w:name w:val="Plain Text"/>
    <w:basedOn w:val="1"/>
    <w:link w:val="15"/>
    <w:unhideWhenUsed/>
    <w:qFormat/>
    <w:uiPriority w:val="99"/>
    <w:rPr>
      <w:rFonts w:hAnsi="Courier New" w:cs="Courier New" w:asciiTheme="minorEastAsia" w:eastAsiaTheme="minorEastAsia"/>
      <w:szCs w:val="24"/>
    </w:rPr>
  </w:style>
  <w:style w:type="paragraph" w:styleId="6">
    <w:name w:val="footer"/>
    <w:basedOn w:val="1"/>
    <w:link w:val="13"/>
    <w:autoRedefine/>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Char"/>
    <w:basedOn w:val="1"/>
    <w:autoRedefine/>
    <w:qFormat/>
    <w:uiPriority w:val="0"/>
    <w:pPr>
      <w:widowControl/>
      <w:spacing w:after="160" w:line="240" w:lineRule="exact"/>
      <w:jc w:val="left"/>
    </w:pPr>
    <w:rPr>
      <w:rFonts w:ascii="Verdana" w:hAnsi="Verdana" w:eastAsia="仿宋_GB2312"/>
      <w:kern w:val="0"/>
      <w:sz w:val="24"/>
      <w:lang w:eastAsia="en-US"/>
    </w:rPr>
  </w:style>
  <w:style w:type="character" w:customStyle="1" w:styleId="12">
    <w:name w:val="页眉 字符"/>
    <w:basedOn w:val="10"/>
    <w:link w:val="7"/>
    <w:autoRedefine/>
    <w:qFormat/>
    <w:uiPriority w:val="0"/>
    <w:rPr>
      <w:kern w:val="2"/>
      <w:sz w:val="18"/>
      <w:szCs w:val="18"/>
    </w:rPr>
  </w:style>
  <w:style w:type="character" w:customStyle="1" w:styleId="13">
    <w:name w:val="页脚 字符"/>
    <w:basedOn w:val="10"/>
    <w:link w:val="6"/>
    <w:autoRedefine/>
    <w:qFormat/>
    <w:uiPriority w:val="0"/>
    <w:rPr>
      <w:kern w:val="2"/>
      <w:sz w:val="18"/>
      <w:szCs w:val="18"/>
    </w:rPr>
  </w:style>
  <w:style w:type="paragraph" w:styleId="14">
    <w:name w:val="List Paragraph"/>
    <w:basedOn w:val="1"/>
    <w:qFormat/>
    <w:uiPriority w:val="99"/>
    <w:pPr>
      <w:ind w:firstLine="420" w:firstLineChars="200"/>
    </w:pPr>
  </w:style>
  <w:style w:type="character" w:customStyle="1" w:styleId="15">
    <w:name w:val="纯文本 字符"/>
    <w:basedOn w:val="10"/>
    <w:link w:val="5"/>
    <w:qFormat/>
    <w:uiPriority w:val="99"/>
    <w:rPr>
      <w:rFonts w:hAnsi="Courier New" w:cs="Courier New" w:asciiTheme="minorEastAsia" w:eastAsiaTheme="minorEastAsia"/>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0FDAD-7164-4BD6-BE64-53B4A93CE85E}">
  <ds:schemaRefs/>
</ds:datastoreItem>
</file>

<file path=docProps/app.xml><?xml version="1.0" encoding="utf-8"?>
<Properties xmlns="http://schemas.openxmlformats.org/officeDocument/2006/extended-properties" xmlns:vt="http://schemas.openxmlformats.org/officeDocument/2006/docPropsVTypes">
  <Template>Normal</Template>
  <Pages>12</Pages>
  <Words>906</Words>
  <Characters>5169</Characters>
  <Lines>43</Lines>
  <Paragraphs>12</Paragraphs>
  <TotalTime>17</TotalTime>
  <ScaleCrop>false</ScaleCrop>
  <LinksUpToDate>false</LinksUpToDate>
  <CharactersWithSpaces>6063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2023-03-14T08:53:00Z</dcterms:created>
  <dc:creator>WYL</dc:creator>
  <cp:lastModifiedBy>dollhouse</cp:lastModifiedBy>
  <cp:lastPrinted>2023-03-11T03:05:00Z</cp:lastPrinted>
  <dcterms:modified xsi:type="dcterms:W3CDTF">2024-01-30T03:16:39Z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4CFD9147861845F58065EE76BE46A781_13</vt:lpwstr>
  </property>
</Properties>
</file>