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中宋" w:hAnsi="华文中宋" w:eastAsia="华文中宋" w:cs="华文中宋"/>
          <w:b/>
          <w:bCs/>
          <w:sz w:val="40"/>
          <w:szCs w:val="40"/>
        </w:rPr>
      </w:pPr>
      <w:bookmarkStart w:id="0" w:name="_GoBack"/>
      <w:r>
        <w:rPr>
          <w:rFonts w:hint="eastAsia" w:ascii="华文中宋" w:hAnsi="华文中宋" w:eastAsia="华文中宋" w:cs="华文中宋"/>
          <w:b/>
          <w:bCs/>
          <w:sz w:val="40"/>
          <w:szCs w:val="40"/>
        </w:rPr>
        <w:t>2022年民政局社区经费项目部门评价报告</w:t>
      </w:r>
    </w:p>
    <w:bookmarkEnd w:id="0"/>
    <w:p>
      <w:pPr>
        <w:jc w:val="left"/>
        <w:rPr>
          <w:rFonts w:ascii="仿宋" w:hAnsi="仿宋" w:eastAsia="仿宋" w:cs="仿宋_GB2312"/>
          <w:b/>
          <w:bCs/>
          <w:sz w:val="32"/>
          <w:szCs w:val="40"/>
        </w:rPr>
      </w:pPr>
    </w:p>
    <w:p>
      <w:pPr>
        <w:jc w:val="left"/>
        <w:rPr>
          <w:rFonts w:ascii="仿宋" w:hAnsi="仿宋" w:eastAsia="仿宋" w:cs="仿宋_GB2312"/>
          <w:b/>
          <w:bCs/>
          <w:sz w:val="32"/>
          <w:szCs w:val="40"/>
        </w:rPr>
      </w:pPr>
      <w:r>
        <w:rPr>
          <w:rFonts w:hint="eastAsia" w:ascii="仿宋" w:hAnsi="仿宋" w:eastAsia="仿宋" w:cs="仿宋_GB2312"/>
          <w:b/>
          <w:bCs/>
          <w:sz w:val="32"/>
          <w:szCs w:val="40"/>
        </w:rPr>
        <w:t>一、基本情况</w:t>
      </w:r>
    </w:p>
    <w:p>
      <w:pPr>
        <w:jc w:val="left"/>
        <w:rPr>
          <w:rFonts w:ascii="华文仿宋" w:hAnsi="华文仿宋" w:eastAsia="华文仿宋" w:cs="华文仿宋"/>
          <w:b/>
          <w:bCs/>
          <w:sz w:val="28"/>
          <w:szCs w:val="28"/>
        </w:rPr>
      </w:pPr>
      <w:r>
        <w:rPr>
          <w:rFonts w:hint="eastAsia" w:ascii="华文仿宋" w:hAnsi="华文仿宋" w:eastAsia="华文仿宋" w:cs="华文仿宋"/>
          <w:b/>
          <w:bCs/>
          <w:sz w:val="28"/>
          <w:szCs w:val="28"/>
        </w:rPr>
        <w:t>（一）项目概况</w:t>
      </w:r>
    </w:p>
    <w:p>
      <w:pPr>
        <w:ind w:left="420"/>
        <w:jc w:val="left"/>
        <w:rPr>
          <w:rFonts w:ascii="华文仿宋" w:hAnsi="华文仿宋" w:eastAsia="华文仿宋" w:cs="华文仿宋"/>
          <w:b/>
          <w:bCs/>
          <w:sz w:val="28"/>
          <w:szCs w:val="28"/>
        </w:rPr>
      </w:pPr>
      <w:r>
        <w:rPr>
          <w:rFonts w:hint="eastAsia" w:ascii="华文仿宋" w:hAnsi="华文仿宋" w:eastAsia="华文仿宋" w:cs="华文仿宋"/>
          <w:b/>
          <w:bCs/>
          <w:sz w:val="28"/>
          <w:szCs w:val="28"/>
        </w:rPr>
        <w:t>1、项目背景</w:t>
      </w:r>
    </w:p>
    <w:p>
      <w:pPr>
        <w:pStyle w:val="10"/>
        <w:widowControl/>
        <w:ind w:left="200" w:firstLine="560"/>
        <w:rPr>
          <w:rFonts w:ascii="华文仿宋" w:hAnsi="华文仿宋" w:eastAsia="华文仿宋" w:cs="华文仿宋"/>
          <w:sz w:val="28"/>
          <w:szCs w:val="28"/>
        </w:rPr>
      </w:pPr>
      <w:r>
        <w:rPr>
          <w:rFonts w:hint="eastAsia" w:ascii="华文仿宋" w:hAnsi="华文仿宋" w:eastAsia="华文仿宋" w:cs="华文仿宋"/>
          <w:sz w:val="28"/>
          <w:szCs w:val="28"/>
        </w:rPr>
        <w:t>为了保障社区居委会的正常运转，根据市委办公厅、市政府办公厅印发《关于加强城市社区工作者职业体系建设的实施意见》的通知（洪办字[2020]17号）文件要求，全面落实城市社区工作经费和社区工作者薪酬待遇。每个社区按社区办公专项经费5万元/年、社区服务群众经费8万元/年、社区发展资金1万元/年的标准核定、下拨。社区工作者薪酬待遇包括基本工资、绩效工资（含网格）、年度奖励、五险一金、工会福利。由于2</w:t>
      </w:r>
      <w:r>
        <w:rPr>
          <w:rFonts w:ascii="华文仿宋" w:hAnsi="华文仿宋" w:eastAsia="华文仿宋" w:cs="华文仿宋"/>
          <w:sz w:val="28"/>
          <w:szCs w:val="28"/>
        </w:rPr>
        <w:t>022</w:t>
      </w:r>
      <w:r>
        <w:rPr>
          <w:rFonts w:hint="eastAsia" w:ascii="华文仿宋" w:hAnsi="华文仿宋" w:eastAsia="华文仿宋" w:cs="华文仿宋"/>
          <w:sz w:val="28"/>
          <w:szCs w:val="28"/>
        </w:rPr>
        <w:t>年社区工作者人员离职近1</w:t>
      </w:r>
      <w:r>
        <w:rPr>
          <w:rFonts w:ascii="华文仿宋" w:hAnsi="华文仿宋" w:eastAsia="华文仿宋" w:cs="华文仿宋"/>
          <w:sz w:val="28"/>
          <w:szCs w:val="28"/>
        </w:rPr>
        <w:t>00</w:t>
      </w:r>
      <w:r>
        <w:rPr>
          <w:rFonts w:hint="eastAsia" w:ascii="华文仿宋" w:hAnsi="华文仿宋" w:eastAsia="华文仿宋" w:cs="华文仿宋"/>
          <w:sz w:val="28"/>
          <w:szCs w:val="28"/>
        </w:rPr>
        <w:t>多人，因此资金有大量剩余。</w:t>
      </w:r>
    </w:p>
    <w:p>
      <w:pPr>
        <w:numPr>
          <w:ilvl w:val="0"/>
          <w:numId w:val="1"/>
        </w:numPr>
        <w:spacing w:line="600" w:lineRule="exact"/>
        <w:ind w:firstLine="640"/>
        <w:rPr>
          <w:rFonts w:ascii="华文仿宋" w:hAnsi="华文仿宋" w:eastAsia="华文仿宋" w:cs="华文仿宋"/>
          <w:b/>
          <w:bCs/>
          <w:sz w:val="28"/>
          <w:szCs w:val="28"/>
        </w:rPr>
      </w:pPr>
      <w:r>
        <w:rPr>
          <w:rFonts w:hint="eastAsia" w:ascii="华文仿宋" w:hAnsi="华文仿宋" w:eastAsia="华文仿宋" w:cs="华文仿宋"/>
          <w:b/>
          <w:bCs/>
          <w:sz w:val="28"/>
          <w:szCs w:val="28"/>
        </w:rPr>
        <w:t>资金投入和使用情况</w:t>
      </w:r>
    </w:p>
    <w:p>
      <w:pPr>
        <w:ind w:left="420" w:firstLine="420"/>
        <w:jc w:val="left"/>
        <w:rPr>
          <w:rFonts w:ascii="华文仿宋" w:hAnsi="华文仿宋" w:eastAsia="华文仿宋" w:cs="华文仿宋"/>
          <w:sz w:val="28"/>
          <w:szCs w:val="28"/>
        </w:rPr>
      </w:pPr>
      <w:r>
        <w:rPr>
          <w:rFonts w:hint="eastAsia" w:ascii="华文仿宋" w:hAnsi="华文仿宋" w:eastAsia="华文仿宋" w:cs="华文仿宋"/>
          <w:sz w:val="28"/>
          <w:szCs w:val="28"/>
        </w:rPr>
        <w:t>预算金额6918.68万元，支出2</w:t>
      </w:r>
      <w:r>
        <w:rPr>
          <w:rFonts w:ascii="华文仿宋" w:hAnsi="华文仿宋" w:eastAsia="华文仿宋" w:cs="华文仿宋"/>
          <w:sz w:val="28"/>
          <w:szCs w:val="28"/>
        </w:rPr>
        <w:t>713.77</w:t>
      </w:r>
      <w:r>
        <w:rPr>
          <w:rFonts w:hint="eastAsia" w:ascii="华文仿宋" w:hAnsi="华文仿宋" w:eastAsia="华文仿宋" w:cs="华文仿宋"/>
          <w:sz w:val="28"/>
          <w:szCs w:val="28"/>
        </w:rPr>
        <w:t>万元</w:t>
      </w:r>
    </w:p>
    <w:p>
      <w:pPr>
        <w:jc w:val="left"/>
        <w:rPr>
          <w:rFonts w:ascii="华文仿宋" w:hAnsi="华文仿宋" w:eastAsia="华文仿宋" w:cs="华文仿宋"/>
          <w:b/>
          <w:bCs/>
          <w:sz w:val="28"/>
          <w:szCs w:val="28"/>
        </w:rPr>
      </w:pPr>
      <w:r>
        <w:rPr>
          <w:rFonts w:hint="eastAsia" w:ascii="华文仿宋" w:hAnsi="华文仿宋" w:eastAsia="华文仿宋" w:cs="华文仿宋"/>
          <w:b/>
          <w:bCs/>
          <w:sz w:val="28"/>
          <w:szCs w:val="28"/>
        </w:rPr>
        <w:t>项目绩效目标</w:t>
      </w:r>
    </w:p>
    <w:p>
      <w:pPr>
        <w:jc w:val="left"/>
        <w:rPr>
          <w:rFonts w:ascii="华文仿宋" w:hAnsi="华文仿宋" w:eastAsia="华文仿宋" w:cs="华文仿宋"/>
          <w:b/>
          <w:bCs/>
          <w:sz w:val="28"/>
          <w:szCs w:val="28"/>
        </w:rPr>
      </w:pPr>
      <w:r>
        <w:rPr>
          <w:rFonts w:hint="eastAsia" w:ascii="华文仿宋" w:hAnsi="华文仿宋" w:eastAsia="华文仿宋" w:cs="华文仿宋"/>
          <w:b/>
          <w:bCs/>
          <w:sz w:val="28"/>
          <w:szCs w:val="28"/>
        </w:rPr>
        <w:t>总体目标</w:t>
      </w:r>
    </w:p>
    <w:p>
      <w:pPr>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项目总体目标为根据实际项目进度完成结算，各项评价指标达到基本要求。</w:t>
      </w:r>
    </w:p>
    <w:p>
      <w:pPr>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针对2022年度社区经费项目项目制定相应的绩效指标体系，具体指标见下表，所设置的绩效目标与项目实际执行相匹配。</w:t>
      </w:r>
    </w:p>
    <w:p>
      <w:pPr>
        <w:pStyle w:val="2"/>
        <w:rPr>
          <w:rFonts w:hint="default"/>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131"/>
        <w:gridCol w:w="1567"/>
        <w:gridCol w:w="3375"/>
        <w:gridCol w:w="22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0" w:hRule="atLeast"/>
        </w:trPr>
        <w:tc>
          <w:tcPr>
            <w:tcW w:w="1131" w:type="dxa"/>
            <w:shd w:val="clear" w:color="auto" w:fill="FFFFFF" w:themeFill="background1"/>
            <w:vAlign w:val="center"/>
          </w:tcPr>
          <w:p>
            <w:pPr>
              <w:widowControl/>
              <w:jc w:val="center"/>
              <w:textAlignment w:val="center"/>
              <w:rPr>
                <w:rFonts w:ascii="仿宋" w:hAnsi="仿宋" w:eastAsia="仿宋" w:cs="仿宋"/>
                <w:b/>
                <w:szCs w:val="21"/>
              </w:rPr>
            </w:pPr>
            <w:r>
              <w:rPr>
                <w:rFonts w:hint="eastAsia" w:ascii="仿宋" w:hAnsi="仿宋" w:eastAsia="仿宋" w:cs="仿宋"/>
                <w:b/>
                <w:kern w:val="0"/>
                <w:szCs w:val="21"/>
                <w:lang w:bidi="ar"/>
              </w:rPr>
              <w:t>一级指标</w:t>
            </w:r>
          </w:p>
        </w:tc>
        <w:tc>
          <w:tcPr>
            <w:tcW w:w="1567" w:type="dxa"/>
            <w:shd w:val="clear" w:color="auto" w:fill="FFFFFF" w:themeFill="background1"/>
            <w:vAlign w:val="center"/>
          </w:tcPr>
          <w:p>
            <w:pPr>
              <w:widowControl/>
              <w:jc w:val="center"/>
              <w:textAlignment w:val="center"/>
              <w:rPr>
                <w:rFonts w:ascii="仿宋" w:hAnsi="仿宋" w:eastAsia="仿宋" w:cs="仿宋"/>
                <w:b/>
                <w:szCs w:val="21"/>
              </w:rPr>
            </w:pPr>
            <w:r>
              <w:rPr>
                <w:rFonts w:hint="eastAsia" w:ascii="仿宋" w:hAnsi="仿宋" w:eastAsia="仿宋" w:cs="仿宋"/>
                <w:b/>
                <w:kern w:val="0"/>
                <w:szCs w:val="21"/>
                <w:lang w:bidi="ar"/>
              </w:rPr>
              <w:t>二级指标</w:t>
            </w:r>
          </w:p>
        </w:tc>
        <w:tc>
          <w:tcPr>
            <w:tcW w:w="3375" w:type="dxa"/>
            <w:shd w:val="clear" w:color="auto" w:fill="FFFFFF" w:themeFill="background1"/>
            <w:vAlign w:val="center"/>
          </w:tcPr>
          <w:p>
            <w:pPr>
              <w:widowControl/>
              <w:ind w:firstLine="482"/>
              <w:jc w:val="center"/>
              <w:textAlignment w:val="center"/>
              <w:rPr>
                <w:rFonts w:ascii="仿宋" w:hAnsi="仿宋" w:eastAsia="仿宋" w:cs="仿宋"/>
                <w:b/>
                <w:szCs w:val="21"/>
              </w:rPr>
            </w:pPr>
            <w:r>
              <w:rPr>
                <w:rFonts w:hint="eastAsia" w:ascii="仿宋" w:hAnsi="仿宋" w:eastAsia="仿宋" w:cs="仿宋"/>
                <w:b/>
                <w:kern w:val="0"/>
                <w:szCs w:val="21"/>
                <w:lang w:bidi="ar"/>
              </w:rPr>
              <w:t>三级指标</w:t>
            </w:r>
          </w:p>
        </w:tc>
        <w:tc>
          <w:tcPr>
            <w:tcW w:w="2263" w:type="dxa"/>
            <w:shd w:val="clear" w:color="auto" w:fill="FFFFFF" w:themeFill="background1"/>
            <w:vAlign w:val="center"/>
          </w:tcPr>
          <w:p>
            <w:pPr>
              <w:widowControl/>
              <w:ind w:firstLine="482"/>
              <w:jc w:val="center"/>
              <w:textAlignment w:val="center"/>
              <w:rPr>
                <w:rFonts w:ascii="仿宋" w:hAnsi="仿宋" w:eastAsia="仿宋" w:cs="仿宋"/>
                <w:b/>
                <w:szCs w:val="21"/>
              </w:rPr>
            </w:pPr>
            <w:r>
              <w:rPr>
                <w:rFonts w:hint="eastAsia" w:ascii="仿宋" w:hAnsi="仿宋" w:eastAsia="仿宋" w:cs="仿宋"/>
                <w:b/>
                <w:szCs w:val="21"/>
              </w:rPr>
              <w:t>年度目标值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8" w:hRule="atLeast"/>
        </w:trPr>
        <w:tc>
          <w:tcPr>
            <w:tcW w:w="1131" w:type="dxa"/>
            <w:vMerge w:val="restart"/>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产出指标</w:t>
            </w:r>
          </w:p>
        </w:tc>
        <w:tc>
          <w:tcPr>
            <w:tcW w:w="1567" w:type="dxa"/>
            <w:vMerge w:val="restart"/>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数量指标</w:t>
            </w:r>
          </w:p>
        </w:tc>
        <w:tc>
          <w:tcPr>
            <w:tcW w:w="3375" w:type="dxa"/>
            <w:shd w:val="clear" w:color="auto" w:fill="FFFFFF"/>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按实际人数8</w:t>
            </w:r>
            <w:r>
              <w:rPr>
                <w:rFonts w:ascii="仿宋" w:hAnsi="仿宋" w:eastAsia="仿宋" w:cs="仿宋"/>
                <w:color w:val="000000"/>
                <w:kern w:val="0"/>
                <w:szCs w:val="21"/>
                <w:lang w:bidi="ar"/>
              </w:rPr>
              <w:t>42</w:t>
            </w:r>
            <w:r>
              <w:rPr>
                <w:rFonts w:hint="eastAsia" w:ascii="仿宋" w:hAnsi="仿宋" w:eastAsia="仿宋" w:cs="仿宋"/>
                <w:color w:val="000000"/>
                <w:kern w:val="0"/>
                <w:szCs w:val="21"/>
                <w:lang w:bidi="ar"/>
              </w:rPr>
              <w:t>人支出经费</w:t>
            </w:r>
          </w:p>
        </w:tc>
        <w:tc>
          <w:tcPr>
            <w:tcW w:w="2263" w:type="dxa"/>
            <w:shd w:val="clear" w:color="auto" w:fill="FFFFFF"/>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6" w:hRule="atLeast"/>
        </w:trPr>
        <w:tc>
          <w:tcPr>
            <w:tcW w:w="1131" w:type="dxa"/>
            <w:vMerge w:val="continue"/>
            <w:shd w:val="clear" w:color="auto" w:fill="FFFFFF"/>
            <w:vAlign w:val="center"/>
          </w:tcPr>
          <w:p>
            <w:pPr>
              <w:ind w:firstLine="480"/>
              <w:jc w:val="center"/>
              <w:rPr>
                <w:rFonts w:ascii="仿宋" w:hAnsi="仿宋" w:eastAsia="仿宋" w:cs="仿宋"/>
                <w:color w:val="000000"/>
                <w:szCs w:val="21"/>
              </w:rPr>
            </w:pPr>
          </w:p>
        </w:tc>
        <w:tc>
          <w:tcPr>
            <w:tcW w:w="1567"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质量指标</w:t>
            </w:r>
          </w:p>
        </w:tc>
        <w:tc>
          <w:tcPr>
            <w:tcW w:w="3375" w:type="dxa"/>
            <w:shd w:val="clear" w:color="auto" w:fill="FFFFFF"/>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社区干部工作质量达标率</w:t>
            </w:r>
          </w:p>
        </w:tc>
        <w:tc>
          <w:tcPr>
            <w:tcW w:w="2263" w:type="dxa"/>
            <w:shd w:val="clear" w:color="auto" w:fill="FFFFFF"/>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5" w:hRule="atLeast"/>
        </w:trPr>
        <w:tc>
          <w:tcPr>
            <w:tcW w:w="1131" w:type="dxa"/>
            <w:vMerge w:val="continue"/>
            <w:shd w:val="clear" w:color="auto" w:fill="FFFFFF"/>
            <w:vAlign w:val="center"/>
          </w:tcPr>
          <w:p>
            <w:pPr>
              <w:ind w:firstLine="480"/>
              <w:jc w:val="center"/>
              <w:rPr>
                <w:rFonts w:ascii="仿宋" w:hAnsi="仿宋" w:eastAsia="仿宋" w:cs="仿宋"/>
                <w:color w:val="000000"/>
                <w:szCs w:val="21"/>
              </w:rPr>
            </w:pPr>
          </w:p>
        </w:tc>
        <w:tc>
          <w:tcPr>
            <w:tcW w:w="1567"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时效指标</w:t>
            </w:r>
          </w:p>
        </w:tc>
        <w:tc>
          <w:tcPr>
            <w:tcW w:w="3375" w:type="dxa"/>
            <w:shd w:val="clear" w:color="auto" w:fill="FFFFFF"/>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资金支付及时率</w:t>
            </w:r>
          </w:p>
        </w:tc>
        <w:tc>
          <w:tcPr>
            <w:tcW w:w="2263" w:type="dxa"/>
            <w:shd w:val="clear" w:color="auto" w:fill="FFFFFF"/>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&gt;=90%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93" w:hRule="atLeast"/>
        </w:trPr>
        <w:tc>
          <w:tcPr>
            <w:tcW w:w="1131" w:type="dxa"/>
            <w:vMerge w:val="continue"/>
            <w:shd w:val="clear" w:color="auto" w:fill="FFFFFF"/>
            <w:vAlign w:val="center"/>
          </w:tcPr>
          <w:p>
            <w:pPr>
              <w:ind w:firstLine="480"/>
              <w:jc w:val="center"/>
              <w:rPr>
                <w:rFonts w:ascii="仿宋" w:hAnsi="仿宋" w:eastAsia="仿宋" w:cs="仿宋"/>
                <w:color w:val="000000"/>
                <w:szCs w:val="21"/>
              </w:rPr>
            </w:pPr>
          </w:p>
        </w:tc>
        <w:tc>
          <w:tcPr>
            <w:tcW w:w="1567"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成本指标</w:t>
            </w:r>
          </w:p>
        </w:tc>
        <w:tc>
          <w:tcPr>
            <w:tcW w:w="3375" w:type="dxa"/>
            <w:shd w:val="clear" w:color="auto" w:fill="FFFFFF"/>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费用成本支出</w:t>
            </w:r>
          </w:p>
        </w:tc>
        <w:tc>
          <w:tcPr>
            <w:tcW w:w="2263" w:type="dxa"/>
            <w:shd w:val="clear" w:color="auto" w:fill="FFFFFF"/>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&lt;=</w:t>
            </w:r>
            <w:r>
              <w:rPr>
                <w:rFonts w:ascii="仿宋" w:hAnsi="仿宋" w:eastAsia="仿宋" w:cs="仿宋"/>
                <w:color w:val="000000"/>
                <w:kern w:val="0"/>
                <w:szCs w:val="21"/>
                <w:lang w:bidi="ar"/>
              </w:rPr>
              <w:t>6918.68</w:t>
            </w:r>
            <w:r>
              <w:rPr>
                <w:rFonts w:hint="eastAsia" w:ascii="仿宋" w:hAnsi="仿宋" w:eastAsia="仿宋" w:cs="仿宋"/>
                <w:color w:val="000000"/>
                <w:kern w:val="0"/>
                <w:szCs w:val="21"/>
                <w:lang w:bidi="ar"/>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1131" w:type="dxa"/>
            <w:vMerge w:val="restart"/>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效益指标</w:t>
            </w:r>
          </w:p>
        </w:tc>
        <w:tc>
          <w:tcPr>
            <w:tcW w:w="1567"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经济效益</w:t>
            </w:r>
          </w:p>
        </w:tc>
        <w:tc>
          <w:tcPr>
            <w:tcW w:w="3375" w:type="dxa"/>
            <w:shd w:val="clear" w:color="auto" w:fill="FFFFFF"/>
            <w:vAlign w:val="center"/>
          </w:tcPr>
          <w:p>
            <w:pPr>
              <w:widowControl/>
              <w:jc w:val="center"/>
              <w:textAlignment w:val="center"/>
              <w:rPr>
                <w:rFonts w:ascii="仿宋" w:hAnsi="仿宋" w:eastAsia="仿宋" w:cs="仿宋"/>
                <w:color w:val="000000"/>
                <w:kern w:val="0"/>
                <w:szCs w:val="21"/>
                <w:lang w:bidi="ar"/>
              </w:rPr>
            </w:pPr>
          </w:p>
        </w:tc>
        <w:tc>
          <w:tcPr>
            <w:tcW w:w="2263" w:type="dxa"/>
            <w:shd w:val="clear" w:color="auto" w:fill="FFFFFF"/>
            <w:vAlign w:val="center"/>
          </w:tcPr>
          <w:p>
            <w:pPr>
              <w:jc w:val="center"/>
              <w:rPr>
                <w:rFonts w:ascii="仿宋" w:hAnsi="仿宋" w:eastAsia="仿宋" w:cs="仿宋"/>
                <w:color w:val="000000"/>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1131" w:type="dxa"/>
            <w:vMerge w:val="continue"/>
            <w:shd w:val="clear" w:color="auto" w:fill="FFFFFF"/>
            <w:vAlign w:val="center"/>
          </w:tcPr>
          <w:p>
            <w:pPr>
              <w:ind w:firstLine="480"/>
              <w:jc w:val="center"/>
              <w:rPr>
                <w:rFonts w:ascii="仿宋" w:hAnsi="仿宋" w:eastAsia="仿宋" w:cs="仿宋"/>
                <w:color w:val="000000"/>
                <w:szCs w:val="21"/>
              </w:rPr>
            </w:pPr>
          </w:p>
        </w:tc>
        <w:tc>
          <w:tcPr>
            <w:tcW w:w="1567" w:type="dxa"/>
            <w:shd w:val="clear" w:color="auto" w:fill="FFFFFF"/>
            <w:vAlign w:val="center"/>
          </w:tcPr>
          <w:p>
            <w:pPr>
              <w:jc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社会效益</w:t>
            </w:r>
          </w:p>
        </w:tc>
        <w:tc>
          <w:tcPr>
            <w:tcW w:w="3375" w:type="dxa"/>
            <w:shd w:val="clear" w:color="auto" w:fill="FFFFFF"/>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社区工作者社会服务水平</w:t>
            </w:r>
          </w:p>
        </w:tc>
        <w:tc>
          <w:tcPr>
            <w:tcW w:w="2263" w:type="dxa"/>
            <w:shd w:val="clear" w:color="auto" w:fill="FFFFFF"/>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1131" w:type="dxa"/>
            <w:vMerge w:val="continue"/>
            <w:shd w:val="clear" w:color="auto" w:fill="FFFFFF"/>
            <w:vAlign w:val="center"/>
          </w:tcPr>
          <w:p>
            <w:pPr>
              <w:ind w:firstLine="480"/>
              <w:jc w:val="center"/>
              <w:rPr>
                <w:rFonts w:ascii="仿宋" w:hAnsi="仿宋" w:eastAsia="仿宋" w:cs="仿宋"/>
                <w:color w:val="000000"/>
                <w:szCs w:val="21"/>
              </w:rPr>
            </w:pPr>
          </w:p>
        </w:tc>
        <w:tc>
          <w:tcPr>
            <w:tcW w:w="1567"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生态效益</w:t>
            </w:r>
          </w:p>
        </w:tc>
        <w:tc>
          <w:tcPr>
            <w:tcW w:w="3375" w:type="dxa"/>
            <w:shd w:val="clear" w:color="auto" w:fill="FFFFFF"/>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w:t>
            </w:r>
          </w:p>
        </w:tc>
        <w:tc>
          <w:tcPr>
            <w:tcW w:w="2263" w:type="dxa"/>
            <w:shd w:val="clear" w:color="auto" w:fill="FFFFFF"/>
            <w:vAlign w:val="center"/>
          </w:tcPr>
          <w:p>
            <w:pPr>
              <w:jc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1131" w:type="dxa"/>
            <w:vMerge w:val="continue"/>
            <w:shd w:val="clear" w:color="auto" w:fill="FFFFFF"/>
            <w:vAlign w:val="center"/>
          </w:tcPr>
          <w:p>
            <w:pPr>
              <w:ind w:firstLine="480"/>
              <w:jc w:val="center"/>
              <w:rPr>
                <w:rFonts w:ascii="仿宋" w:hAnsi="仿宋" w:eastAsia="仿宋" w:cs="仿宋"/>
                <w:color w:val="000000"/>
                <w:szCs w:val="21"/>
              </w:rPr>
            </w:pPr>
          </w:p>
        </w:tc>
        <w:tc>
          <w:tcPr>
            <w:tcW w:w="1567"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可持续效益</w:t>
            </w:r>
          </w:p>
        </w:tc>
        <w:tc>
          <w:tcPr>
            <w:tcW w:w="3375" w:type="dxa"/>
            <w:shd w:val="clear" w:color="auto" w:fill="FFFFFF"/>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w:t>
            </w:r>
          </w:p>
        </w:tc>
        <w:tc>
          <w:tcPr>
            <w:tcW w:w="2263" w:type="dxa"/>
            <w:shd w:val="clear" w:color="auto" w:fill="FFFFFF"/>
            <w:vAlign w:val="center"/>
          </w:tcPr>
          <w:p>
            <w:pPr>
              <w:jc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11" w:hRule="atLeast"/>
        </w:trPr>
        <w:tc>
          <w:tcPr>
            <w:tcW w:w="1131" w:type="dxa"/>
            <w:shd w:val="clear" w:color="auto" w:fill="FFFFFF"/>
            <w:vAlign w:val="center"/>
          </w:tcPr>
          <w:p>
            <w:pPr>
              <w:widowControl/>
              <w:tabs>
                <w:tab w:val="left" w:pos="298"/>
              </w:tabs>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满意度</w:t>
            </w:r>
          </w:p>
          <w:p>
            <w:pPr>
              <w:widowControl/>
              <w:tabs>
                <w:tab w:val="left" w:pos="298"/>
              </w:tabs>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指标</w:t>
            </w:r>
          </w:p>
        </w:tc>
        <w:tc>
          <w:tcPr>
            <w:tcW w:w="1567" w:type="dxa"/>
            <w:shd w:val="clear" w:color="auto" w:fill="FFFFFF"/>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满意度</w:t>
            </w:r>
          </w:p>
        </w:tc>
        <w:tc>
          <w:tcPr>
            <w:tcW w:w="3375" w:type="dxa"/>
            <w:shd w:val="clear" w:color="auto" w:fill="FFFFFF"/>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社区群众满意度</w:t>
            </w:r>
          </w:p>
        </w:tc>
        <w:tc>
          <w:tcPr>
            <w:tcW w:w="2263" w:type="dxa"/>
            <w:shd w:val="clear" w:color="auto" w:fill="FFFFFF"/>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&gt;=</w:t>
            </w:r>
            <w:r>
              <w:rPr>
                <w:rFonts w:ascii="仿宋" w:hAnsi="仿宋" w:eastAsia="仿宋" w:cs="仿宋"/>
                <w:color w:val="000000"/>
                <w:kern w:val="0"/>
                <w:szCs w:val="21"/>
                <w:lang w:bidi="ar"/>
              </w:rPr>
              <w:t>9</w:t>
            </w:r>
            <w:r>
              <w:rPr>
                <w:rFonts w:hint="eastAsia" w:ascii="仿宋" w:hAnsi="仿宋" w:eastAsia="仿宋" w:cs="仿宋"/>
                <w:color w:val="000000"/>
                <w:kern w:val="0"/>
                <w:szCs w:val="21"/>
                <w:lang w:bidi="ar"/>
              </w:rPr>
              <w:t>5%</w:t>
            </w:r>
          </w:p>
        </w:tc>
      </w:tr>
    </w:tbl>
    <w:p>
      <w:pPr>
        <w:jc w:val="left"/>
        <w:rPr>
          <w:rFonts w:ascii="仿宋" w:hAnsi="仿宋" w:eastAsia="仿宋" w:cs="仿宋_GB2312"/>
          <w:b/>
          <w:bCs/>
          <w:sz w:val="32"/>
          <w:szCs w:val="40"/>
        </w:rPr>
      </w:pPr>
      <w:r>
        <w:rPr>
          <w:rFonts w:hint="eastAsia" w:ascii="仿宋" w:hAnsi="仿宋" w:eastAsia="仿宋" w:cs="仿宋_GB2312"/>
          <w:b/>
          <w:bCs/>
          <w:sz w:val="32"/>
          <w:szCs w:val="40"/>
        </w:rPr>
        <w:t>二、绩效评价工作开展情况</w:t>
      </w:r>
    </w:p>
    <w:p>
      <w:pPr>
        <w:numPr>
          <w:ilvl w:val="0"/>
          <w:numId w:val="2"/>
        </w:numPr>
        <w:jc w:val="left"/>
        <w:rPr>
          <w:rFonts w:ascii="华文仿宋" w:hAnsi="华文仿宋" w:eastAsia="华文仿宋" w:cs="华文仿宋"/>
          <w:b/>
          <w:bCs/>
          <w:sz w:val="28"/>
          <w:szCs w:val="28"/>
        </w:rPr>
      </w:pPr>
      <w:r>
        <w:rPr>
          <w:rFonts w:hint="eastAsia" w:ascii="华文仿宋" w:hAnsi="华文仿宋" w:eastAsia="华文仿宋" w:cs="华文仿宋"/>
          <w:b/>
          <w:bCs/>
          <w:sz w:val="28"/>
          <w:szCs w:val="28"/>
        </w:rPr>
        <w:t>绩效评价目的、对象和范围</w:t>
      </w:r>
    </w:p>
    <w:p>
      <w:pPr>
        <w:spacing w:line="580" w:lineRule="exact"/>
        <w:ind w:right="320" w:firstLine="562" w:firstLineChars="200"/>
        <w:outlineLvl w:val="2"/>
        <w:rPr>
          <w:rFonts w:ascii="华文仿宋" w:hAnsi="华文仿宋" w:eastAsia="华文仿宋" w:cs="华文仿宋"/>
          <w:b/>
          <w:bCs/>
          <w:sz w:val="28"/>
          <w:szCs w:val="28"/>
        </w:rPr>
      </w:pPr>
      <w:r>
        <w:rPr>
          <w:rFonts w:hint="eastAsia" w:ascii="华文仿宋" w:hAnsi="华文仿宋" w:eastAsia="华文仿宋" w:cs="华文仿宋"/>
          <w:b/>
          <w:bCs/>
          <w:sz w:val="28"/>
          <w:szCs w:val="28"/>
        </w:rPr>
        <w:t>1、绩效评价目的</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（1）通过绩效评价，考察立项依据的充分性，有利于正确引导和规范政府投资建设资金监督和管理，形成有效的监督约束，增加财政投资资金的透明度；</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（2）通过绩效评价，考察预算编制的准确性，有利于衡量政府建设资金的产出与效果，分析、检查资金使用是否达到预期目标，是否为预算安排提供了重要依据；</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 xml:space="preserve">（3）通过绩效评价，对实施过程中的经验做法进行总结和提炼，发现亮点，分析存在问题，提出合理化建议，进一步促进红谷滩区社区经费项目项目优化提升，提高资金使用效益。 </w:t>
      </w:r>
    </w:p>
    <w:p>
      <w:pPr>
        <w:spacing w:line="580" w:lineRule="exact"/>
        <w:ind w:right="320" w:firstLine="562" w:firstLineChars="200"/>
        <w:outlineLvl w:val="2"/>
        <w:rPr>
          <w:rFonts w:ascii="华文仿宋" w:hAnsi="华文仿宋" w:eastAsia="华文仿宋" w:cs="华文仿宋"/>
          <w:b/>
          <w:bCs/>
          <w:sz w:val="28"/>
          <w:szCs w:val="28"/>
        </w:rPr>
      </w:pPr>
      <w:r>
        <w:rPr>
          <w:rFonts w:hint="eastAsia" w:ascii="华文仿宋" w:hAnsi="华文仿宋" w:eastAsia="华文仿宋" w:cs="华文仿宋"/>
          <w:b/>
          <w:bCs/>
          <w:sz w:val="28"/>
          <w:szCs w:val="28"/>
        </w:rPr>
        <w:t>2、绩效评价对象</w:t>
      </w:r>
    </w:p>
    <w:p>
      <w:pPr>
        <w:spacing w:line="580" w:lineRule="exact"/>
        <w:ind w:firstLine="560" w:firstLineChars="200"/>
        <w:rPr>
          <w:rFonts w:ascii="华文仿宋" w:hAnsi="华文仿宋" w:eastAsia="华文仿宋" w:cs="华文仿宋"/>
          <w:sz w:val="28"/>
          <w:szCs w:val="28"/>
          <w:highlight w:val="yellow"/>
        </w:rPr>
      </w:pPr>
      <w:r>
        <w:rPr>
          <w:rFonts w:hint="eastAsia" w:ascii="华文仿宋" w:hAnsi="华文仿宋" w:eastAsia="华文仿宋" w:cs="华文仿宋"/>
          <w:sz w:val="28"/>
          <w:szCs w:val="28"/>
        </w:rPr>
        <w:t>本次评价对象为红谷滩区2022年度社区经费项目项目资金，2022年度财政预算安排资金为</w:t>
      </w:r>
      <w:r>
        <w:rPr>
          <w:rFonts w:ascii="华文仿宋" w:hAnsi="华文仿宋" w:eastAsia="华文仿宋" w:cs="华文仿宋"/>
          <w:sz w:val="28"/>
          <w:szCs w:val="28"/>
        </w:rPr>
        <w:t>6918.68</w:t>
      </w:r>
      <w:r>
        <w:rPr>
          <w:rFonts w:hint="eastAsia" w:ascii="华文仿宋" w:hAnsi="华文仿宋" w:eastAsia="华文仿宋" w:cs="华文仿宋"/>
          <w:sz w:val="28"/>
          <w:szCs w:val="28"/>
        </w:rPr>
        <w:t>万元。</w:t>
      </w:r>
    </w:p>
    <w:p>
      <w:pPr>
        <w:spacing w:line="580" w:lineRule="exact"/>
        <w:ind w:right="320" w:firstLine="562" w:firstLineChars="200"/>
        <w:outlineLvl w:val="2"/>
        <w:rPr>
          <w:rFonts w:ascii="华文仿宋" w:hAnsi="华文仿宋" w:eastAsia="华文仿宋" w:cs="华文仿宋"/>
          <w:b/>
          <w:bCs/>
          <w:sz w:val="28"/>
          <w:szCs w:val="28"/>
        </w:rPr>
      </w:pPr>
      <w:r>
        <w:rPr>
          <w:rFonts w:hint="eastAsia" w:ascii="华文仿宋" w:hAnsi="华文仿宋" w:eastAsia="华文仿宋" w:cs="华文仿宋"/>
          <w:b/>
          <w:bCs/>
          <w:sz w:val="28"/>
          <w:szCs w:val="28"/>
        </w:rPr>
        <w:t>3、绩效评价范围</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根据《江西省省级项目支出和部门整体支出绩效评价管理暂行办法》、《中共南昌市委南昌市人民政府关于全面实施预算绩效管理的实施意见》及《南昌市财政项目支出绩效评价管理办法》文件精神，从项目决策、项目过程、项目产出与效果等方面对红谷滩区2022年度社区经费项目进行绩效综合评价。</w:t>
      </w:r>
    </w:p>
    <w:p>
      <w:pPr>
        <w:numPr>
          <w:ilvl w:val="0"/>
          <w:numId w:val="2"/>
        </w:numPr>
        <w:jc w:val="left"/>
        <w:rPr>
          <w:rFonts w:ascii="华文仿宋" w:hAnsi="华文仿宋" w:eastAsia="华文仿宋" w:cs="华文仿宋"/>
          <w:b/>
          <w:bCs/>
          <w:sz w:val="28"/>
          <w:szCs w:val="28"/>
        </w:rPr>
      </w:pPr>
      <w:r>
        <w:rPr>
          <w:rFonts w:hint="eastAsia" w:ascii="华文仿宋" w:hAnsi="华文仿宋" w:eastAsia="华文仿宋" w:cs="华文仿宋"/>
          <w:b/>
          <w:bCs/>
          <w:sz w:val="28"/>
          <w:szCs w:val="28"/>
        </w:rPr>
        <w:t>绩效评价原则、评价指标体系（附表说明）、评价方法、评价标准等。</w:t>
      </w:r>
    </w:p>
    <w:p>
      <w:pPr>
        <w:spacing w:line="580" w:lineRule="exact"/>
        <w:ind w:right="320" w:firstLine="562" w:firstLineChars="200"/>
        <w:outlineLvl w:val="2"/>
        <w:rPr>
          <w:rFonts w:ascii="华文仿宋" w:hAnsi="华文仿宋" w:eastAsia="华文仿宋" w:cs="华文仿宋"/>
          <w:b/>
          <w:bCs/>
          <w:sz w:val="28"/>
          <w:szCs w:val="28"/>
        </w:rPr>
      </w:pPr>
      <w:r>
        <w:rPr>
          <w:rFonts w:hint="eastAsia" w:ascii="华文仿宋" w:hAnsi="华文仿宋" w:eastAsia="华文仿宋" w:cs="华文仿宋"/>
          <w:b/>
          <w:bCs/>
          <w:sz w:val="28"/>
          <w:szCs w:val="28"/>
        </w:rPr>
        <w:t>1、绩效评价原则</w:t>
      </w:r>
    </w:p>
    <w:p>
      <w:pPr>
        <w:spacing w:line="580" w:lineRule="exact"/>
        <w:ind w:right="320"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（1）相关性原则。应与绩效目标有直接的联系，能够恰当反映目标的实现程度；</w:t>
      </w:r>
    </w:p>
    <w:p>
      <w:pPr>
        <w:spacing w:line="580" w:lineRule="exact"/>
        <w:ind w:right="320"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（2）可比性原则。对同类评价对象要设定共性的绩效评价指标，以便评价结果可以相互比较；</w:t>
      </w:r>
    </w:p>
    <w:p>
      <w:pPr>
        <w:spacing w:line="580" w:lineRule="exact"/>
        <w:ind w:right="320"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（3）系统性原则。将定量指标与定性指标相结合，系统反映财政支出所产生的社会效益、经济效益、环境效益和可持续影响等；</w:t>
      </w:r>
    </w:p>
    <w:p>
      <w:pPr>
        <w:spacing w:line="580" w:lineRule="exact"/>
        <w:ind w:right="320"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（4）经济性原则。通俗易懂、简便易行，数据的获得应考虑现实条件和可操作性，符合成本效益原则。</w:t>
      </w:r>
    </w:p>
    <w:p>
      <w:pPr>
        <w:spacing w:line="580" w:lineRule="exact"/>
        <w:ind w:right="320" w:firstLine="562" w:firstLineChars="200"/>
        <w:outlineLvl w:val="2"/>
        <w:rPr>
          <w:rFonts w:ascii="华文仿宋" w:hAnsi="华文仿宋" w:eastAsia="华文仿宋" w:cs="华文仿宋"/>
          <w:b/>
          <w:bCs/>
          <w:sz w:val="28"/>
          <w:szCs w:val="28"/>
        </w:rPr>
      </w:pPr>
      <w:r>
        <w:rPr>
          <w:rFonts w:hint="eastAsia" w:ascii="华文仿宋" w:hAnsi="华文仿宋" w:eastAsia="华文仿宋" w:cs="华文仿宋"/>
          <w:b/>
          <w:bCs/>
          <w:sz w:val="28"/>
          <w:szCs w:val="28"/>
        </w:rPr>
        <w:t>2、评价指标体系</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根据绩效评价的基本原理、原则和项目特点，结合《项目支出绩效评价管理办法》（财预[2020]10号）有关要求设置，本次绩效评价指标体系包括决策、过程、产出及效益4个一级指标，11个二级指标和18个三级指标，满分为100分。</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（1）项目决策类指标：占权重分15分，从项目立项、绩效目标、资金投入三个方面评价项目立项依据充分性、立项规范性、绩效目标合理性、绩效指标明确性、预算编制科学性以及资金分配合理性等内容。</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（2）项目过程类指标：占权重分15分，从资金管理和组织实施两方面评价资金到位率、预算执行率、资金使用合规性、管理制度健全性、制度执行有效性等内容。</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（3）项目产出类指标：占权重分40分，用于综合评价资金投入使用后的产出情况，指标设计相应地从数量、质量、时效和成本四个角度入手，有针对性的设计三级指标。</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（4）项目效益类指标：占权重分30分，用于综合评价资金投入使用后的效益实现程度，以及项目运行期内社会公众或服务对象的满意程度等内容。</w:t>
      </w:r>
    </w:p>
    <w:p>
      <w:pPr>
        <w:pStyle w:val="4"/>
        <w:ind w:firstLine="560" w:firstLineChars="200"/>
        <w:rPr>
          <w:rFonts w:ascii="华文仿宋" w:hAnsi="华文仿宋" w:eastAsia="华文仿宋" w:cs="华文仿宋"/>
        </w:rPr>
      </w:pPr>
      <w:r>
        <w:rPr>
          <w:rFonts w:hint="eastAsia" w:ascii="华文仿宋" w:hAnsi="华文仿宋" w:eastAsia="华文仿宋" w:cs="华文仿宋"/>
        </w:rPr>
        <w:t>具体评价指标设置如下表所示：</w:t>
      </w:r>
    </w:p>
    <w:tbl>
      <w:tblPr>
        <w:tblStyle w:val="6"/>
        <w:tblW w:w="97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1"/>
        <w:gridCol w:w="1361"/>
        <w:gridCol w:w="596"/>
        <w:gridCol w:w="1963"/>
        <w:gridCol w:w="706"/>
        <w:gridCol w:w="3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blHeader/>
          <w:jc w:val="center"/>
        </w:trPr>
        <w:tc>
          <w:tcPr>
            <w:tcW w:w="1141"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一级</w:t>
            </w:r>
          </w:p>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指标</w:t>
            </w:r>
          </w:p>
        </w:tc>
        <w:tc>
          <w:tcPr>
            <w:tcW w:w="1361"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二级指标</w:t>
            </w:r>
          </w:p>
        </w:tc>
        <w:tc>
          <w:tcPr>
            <w:tcW w:w="596"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分</w:t>
            </w:r>
          </w:p>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值</w:t>
            </w:r>
          </w:p>
        </w:tc>
        <w:tc>
          <w:tcPr>
            <w:tcW w:w="1963"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三级指标</w:t>
            </w:r>
          </w:p>
        </w:tc>
        <w:tc>
          <w:tcPr>
            <w:tcW w:w="706"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分值</w:t>
            </w:r>
          </w:p>
        </w:tc>
        <w:tc>
          <w:tcPr>
            <w:tcW w:w="3980"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14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决策　</w:t>
            </w:r>
          </w:p>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　</w:t>
            </w:r>
          </w:p>
          <w:p>
            <w:pPr>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（15分）　</w:t>
            </w:r>
          </w:p>
        </w:tc>
        <w:tc>
          <w:tcPr>
            <w:tcW w:w="136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项目立项　</w:t>
            </w:r>
          </w:p>
        </w:tc>
        <w:tc>
          <w:tcPr>
            <w:tcW w:w="596"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4</w:t>
            </w: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立项依据充分性</w:t>
            </w:r>
          </w:p>
        </w:tc>
        <w:tc>
          <w:tcPr>
            <w:tcW w:w="70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c>
          <w:tcPr>
            <w:tcW w:w="3980" w:type="dxa"/>
            <w:shd w:val="clear" w:color="auto" w:fill="FFFFFF"/>
            <w:vAlign w:val="center"/>
          </w:tcPr>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①项目立项是否符合国家法律法规、国民经济发展规划和相关政策；</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②项目立项是否符合行业发展规划和政策要求；</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③项目立项是否与部门职责范围相符，属于部门履职所需；</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④项目是否属于公共财政支持范围，是否符合中央、地方事权支出责任划分原则；</w:t>
            </w:r>
          </w:p>
          <w:p>
            <w:pPr>
              <w:widowControl/>
              <w:spacing w:line="240" w:lineRule="exact"/>
              <w:jc w:val="left"/>
              <w:rPr>
                <w:rFonts w:ascii="仿宋" w:hAnsi="仿宋" w:eastAsia="仿宋" w:cs="仿宋"/>
                <w:color w:val="000000"/>
                <w:kern w:val="0"/>
                <w:szCs w:val="21"/>
              </w:rPr>
            </w:pPr>
            <w:r>
              <w:rPr>
                <w:rFonts w:hint="eastAsia" w:ascii="仿宋" w:hAnsi="仿宋" w:eastAsia="仿宋" w:cs="仿宋"/>
                <w:kern w:val="0"/>
                <w:szCs w:val="21"/>
              </w:rPr>
              <w:t>⑤项目是否与相关部门同类项目或部门内部相关项目重复。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立项程序规范性</w:t>
            </w:r>
          </w:p>
        </w:tc>
        <w:tc>
          <w:tcPr>
            <w:tcW w:w="70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c>
          <w:tcPr>
            <w:tcW w:w="3980" w:type="dxa"/>
            <w:shd w:val="clear" w:color="auto" w:fill="FFFFFF"/>
            <w:vAlign w:val="center"/>
          </w:tcPr>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①项目是否按照规定的程序申请设立；</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②审批文件、材料是否符合相关要求；</w:t>
            </w:r>
          </w:p>
          <w:p>
            <w:pPr>
              <w:widowControl/>
              <w:spacing w:line="240" w:lineRule="exact"/>
              <w:jc w:val="left"/>
              <w:rPr>
                <w:rFonts w:ascii="仿宋" w:hAnsi="仿宋" w:eastAsia="仿宋" w:cs="仿宋"/>
                <w:color w:val="000000"/>
                <w:kern w:val="0"/>
                <w:szCs w:val="21"/>
              </w:rPr>
            </w:pPr>
            <w:r>
              <w:rPr>
                <w:rFonts w:hint="eastAsia" w:ascii="仿宋" w:hAnsi="仿宋" w:eastAsia="仿宋" w:cs="仿宋"/>
                <w:kern w:val="0"/>
                <w:szCs w:val="21"/>
              </w:rPr>
              <w:t>③事前是否已经过必要的可行性研究、专家论证、风险评估、绩效评估、集体决策。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绩效目标　</w:t>
            </w:r>
          </w:p>
        </w:tc>
        <w:tc>
          <w:tcPr>
            <w:tcW w:w="596"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6</w:t>
            </w: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绩效目标合理性</w:t>
            </w:r>
          </w:p>
        </w:tc>
        <w:tc>
          <w:tcPr>
            <w:tcW w:w="706"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3980" w:type="dxa"/>
            <w:shd w:val="clear" w:color="000000" w:fill="FFFFFF"/>
            <w:vAlign w:val="center"/>
          </w:tcPr>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①项目是否有绩效目标；</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②项目绩效目标与实际工作内容是否具有相关性；</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③项目预期产出效益和效果是否符合正常的业绩水平；</w:t>
            </w:r>
          </w:p>
          <w:p>
            <w:pPr>
              <w:widowControl/>
              <w:spacing w:line="240" w:lineRule="exact"/>
              <w:jc w:val="left"/>
              <w:rPr>
                <w:rFonts w:ascii="仿宋" w:hAnsi="仿宋" w:eastAsia="仿宋" w:cs="仿宋"/>
                <w:color w:val="000000"/>
                <w:kern w:val="0"/>
                <w:szCs w:val="21"/>
              </w:rPr>
            </w:pPr>
            <w:r>
              <w:rPr>
                <w:rFonts w:hint="eastAsia" w:ascii="仿宋" w:hAnsi="仿宋" w:eastAsia="仿宋" w:cs="仿宋"/>
                <w:kern w:val="0"/>
                <w:szCs w:val="21"/>
              </w:rPr>
              <w:t>④是否与预算确定的项目投资额或资金量相匹配。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绩效指标明确性</w:t>
            </w:r>
          </w:p>
        </w:tc>
        <w:tc>
          <w:tcPr>
            <w:tcW w:w="706" w:type="dxa"/>
            <w:shd w:val="clear" w:color="000000" w:fill="FFFFFF"/>
            <w:vAlign w:val="center"/>
          </w:tcPr>
          <w:p>
            <w:pPr>
              <w:widowControl/>
              <w:spacing w:line="240" w:lineRule="exact"/>
              <w:jc w:val="center"/>
              <w:rPr>
                <w:rFonts w:ascii="仿宋" w:hAnsi="仿宋" w:eastAsia="仿宋" w:cs="仿宋"/>
                <w:color w:val="000000"/>
                <w:kern w:val="0"/>
                <w:szCs w:val="21"/>
              </w:rPr>
            </w:pPr>
          </w:p>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3980" w:type="dxa"/>
            <w:shd w:val="clear" w:color="000000" w:fill="FFFFFF"/>
            <w:vAlign w:val="center"/>
          </w:tcPr>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①是否将项目绩效目标细化分解为具体的绩效指标；</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②是否通过清晰、可衡量的指标值予以体现；</w:t>
            </w:r>
          </w:p>
          <w:p>
            <w:pPr>
              <w:widowControl/>
              <w:spacing w:line="240" w:lineRule="exact"/>
              <w:jc w:val="left"/>
              <w:rPr>
                <w:rFonts w:ascii="仿宋" w:hAnsi="仿宋" w:eastAsia="仿宋" w:cs="仿宋"/>
                <w:color w:val="000000"/>
                <w:kern w:val="0"/>
                <w:szCs w:val="21"/>
              </w:rPr>
            </w:pPr>
            <w:r>
              <w:rPr>
                <w:rFonts w:hint="eastAsia" w:ascii="仿宋" w:hAnsi="仿宋" w:eastAsia="仿宋" w:cs="仿宋"/>
                <w:kern w:val="0"/>
                <w:szCs w:val="21"/>
              </w:rPr>
              <w:t>③是否与项目目标任务数或计划数相对应。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资金投入　</w:t>
            </w:r>
          </w:p>
        </w:tc>
        <w:tc>
          <w:tcPr>
            <w:tcW w:w="596"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预算编制科学性</w:t>
            </w:r>
          </w:p>
        </w:tc>
        <w:tc>
          <w:tcPr>
            <w:tcW w:w="70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3980" w:type="dxa"/>
            <w:shd w:val="clear" w:color="auto" w:fill="FFFFFF"/>
            <w:vAlign w:val="center"/>
          </w:tcPr>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①预算编制是否经过科学论证；</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②预算内容与项目内容是否匹配；</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③预算额度测算依据是否充分，是否按照标准编制；</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④预算确定的项目投资额或资金量是否与工作任务相匹配。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资金分配合理性</w:t>
            </w:r>
          </w:p>
        </w:tc>
        <w:tc>
          <w:tcPr>
            <w:tcW w:w="70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c>
          <w:tcPr>
            <w:tcW w:w="3980" w:type="dxa"/>
            <w:shd w:val="clear" w:color="auto" w:fill="FFFFFF"/>
            <w:vAlign w:val="center"/>
          </w:tcPr>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①预算资金分配依据是否充分；</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②资金分配额度是否合理，与项目单位或地方实际是否相适应。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141" w:type="dxa"/>
            <w:vMerge w:val="restart"/>
            <w:shd w:val="clear" w:color="auto" w:fill="FFFFFF"/>
            <w:vAlign w:val="center"/>
          </w:tcPr>
          <w:p>
            <w:pPr>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过程</w:t>
            </w:r>
          </w:p>
          <w:p>
            <w:pPr>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（15分）</w:t>
            </w:r>
          </w:p>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36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资金管理</w:t>
            </w:r>
          </w:p>
        </w:tc>
        <w:tc>
          <w:tcPr>
            <w:tcW w:w="596"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8</w:t>
            </w: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资金到位率</w:t>
            </w:r>
          </w:p>
        </w:tc>
        <w:tc>
          <w:tcPr>
            <w:tcW w:w="706"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c>
          <w:tcPr>
            <w:tcW w:w="3980" w:type="dxa"/>
            <w:shd w:val="clear" w:color="000000" w:fill="FFFFFF"/>
            <w:vAlign w:val="center"/>
          </w:tcPr>
          <w:p>
            <w:pPr>
              <w:widowControl/>
              <w:spacing w:line="240" w:lineRule="exact"/>
              <w:jc w:val="left"/>
              <w:rPr>
                <w:rFonts w:ascii="仿宋" w:hAnsi="仿宋" w:eastAsia="仿宋" w:cs="仿宋"/>
                <w:color w:val="000000"/>
                <w:kern w:val="0"/>
                <w:szCs w:val="21"/>
              </w:rPr>
            </w:pPr>
            <w:r>
              <w:rPr>
                <w:rFonts w:hint="eastAsia" w:ascii="仿宋" w:hAnsi="仿宋" w:eastAsia="仿宋" w:cs="仿宋"/>
                <w:kern w:val="0"/>
                <w:szCs w:val="21"/>
              </w:rPr>
              <w:t>资金到位率=实际到位资金/预算资金实际到位资金：一定时期（本年度或项目期）内落实到具体项目的资金。预算资金：一定时期（本年度或项目期）内预算安排到具体项目的资金。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预算执行率</w:t>
            </w:r>
          </w:p>
        </w:tc>
        <w:tc>
          <w:tcPr>
            <w:tcW w:w="70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3980" w:type="dxa"/>
            <w:shd w:val="clear" w:color="auto" w:fill="FFFFFF"/>
            <w:vAlign w:val="center"/>
          </w:tcPr>
          <w:p>
            <w:pPr>
              <w:widowControl/>
              <w:spacing w:line="240" w:lineRule="exact"/>
              <w:jc w:val="left"/>
              <w:rPr>
                <w:rFonts w:ascii="仿宋" w:hAnsi="仿宋" w:eastAsia="仿宋" w:cs="仿宋"/>
                <w:color w:val="000000"/>
                <w:kern w:val="0"/>
                <w:szCs w:val="21"/>
              </w:rPr>
            </w:pPr>
            <w:r>
              <w:rPr>
                <w:rFonts w:hint="eastAsia" w:ascii="仿宋" w:hAnsi="仿宋" w:eastAsia="仿宋" w:cs="仿宋"/>
                <w:kern w:val="0"/>
                <w:szCs w:val="21"/>
              </w:rPr>
              <w:t>预算执行率=（实际支出资金/实际到位资金）×100%。实际支出资金：一定时期（本年度或项目期）内项目实际拨付的资金。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资金使用合规性</w:t>
            </w:r>
          </w:p>
        </w:tc>
        <w:tc>
          <w:tcPr>
            <w:tcW w:w="706"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3980" w:type="dxa"/>
            <w:shd w:val="clear" w:color="000000" w:fill="FFFFFF"/>
            <w:vAlign w:val="center"/>
          </w:tcPr>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①是否符合国家财经法规和财务管理制度以及有关专项资金管理办法的规定；</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②资金的拨付是否有完整的审批程序和手续；</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③是否符合项目预算批复或合同规定的用途；</w:t>
            </w:r>
          </w:p>
          <w:p>
            <w:pPr>
              <w:widowControl/>
              <w:spacing w:line="240" w:lineRule="exact"/>
              <w:jc w:val="left"/>
              <w:rPr>
                <w:rFonts w:ascii="仿宋" w:hAnsi="仿宋" w:eastAsia="仿宋" w:cs="仿宋"/>
                <w:color w:val="000000"/>
                <w:kern w:val="0"/>
                <w:szCs w:val="21"/>
              </w:rPr>
            </w:pPr>
            <w:r>
              <w:rPr>
                <w:rFonts w:hint="eastAsia" w:ascii="仿宋" w:hAnsi="仿宋" w:eastAsia="仿宋" w:cs="仿宋"/>
                <w:kern w:val="0"/>
                <w:szCs w:val="21"/>
              </w:rPr>
              <w:t>④是否存在截留、挤占、挪用、虚列支出等情况。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组织实施　</w:t>
            </w:r>
          </w:p>
        </w:tc>
        <w:tc>
          <w:tcPr>
            <w:tcW w:w="596"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7</w:t>
            </w: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管理制度健全性</w:t>
            </w:r>
          </w:p>
        </w:tc>
        <w:tc>
          <w:tcPr>
            <w:tcW w:w="706"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3980" w:type="dxa"/>
            <w:shd w:val="clear" w:color="000000" w:fill="FFFFFF"/>
            <w:vAlign w:val="center"/>
          </w:tcPr>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①是否已制定或具有相应的财务和业务管理制度；</w:t>
            </w:r>
          </w:p>
          <w:p>
            <w:pPr>
              <w:widowControl/>
              <w:spacing w:line="240" w:lineRule="exact"/>
              <w:jc w:val="left"/>
              <w:rPr>
                <w:rFonts w:ascii="仿宋" w:hAnsi="仿宋" w:eastAsia="仿宋" w:cs="仿宋"/>
                <w:color w:val="000000"/>
                <w:kern w:val="0"/>
                <w:szCs w:val="21"/>
              </w:rPr>
            </w:pPr>
            <w:r>
              <w:rPr>
                <w:rFonts w:hint="eastAsia" w:ascii="仿宋" w:hAnsi="仿宋" w:eastAsia="仿宋" w:cs="仿宋"/>
                <w:kern w:val="0"/>
                <w:szCs w:val="21"/>
              </w:rPr>
              <w:t>②财务和业务管理制度是否合法、合规、完整。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制度执行有效性</w:t>
            </w:r>
          </w:p>
        </w:tc>
        <w:tc>
          <w:tcPr>
            <w:tcW w:w="706"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4</w:t>
            </w:r>
          </w:p>
        </w:tc>
        <w:tc>
          <w:tcPr>
            <w:tcW w:w="3980" w:type="dxa"/>
            <w:shd w:val="clear" w:color="000000" w:fill="FFFFFF"/>
            <w:vAlign w:val="center"/>
          </w:tcPr>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①是否遵守相关法律法规和相关管理规定；</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②项目调整及支出调整手续是否完备；</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③项目合同书、验收报告、技术鉴定等资料是否齐全并及时归档；</w:t>
            </w:r>
          </w:p>
          <w:p>
            <w:pPr>
              <w:widowControl/>
              <w:spacing w:line="240" w:lineRule="exact"/>
              <w:jc w:val="left"/>
              <w:rPr>
                <w:rFonts w:ascii="仿宋" w:hAnsi="仿宋" w:eastAsia="仿宋" w:cs="仿宋"/>
                <w:color w:val="000000"/>
                <w:kern w:val="0"/>
                <w:szCs w:val="21"/>
              </w:rPr>
            </w:pPr>
            <w:r>
              <w:rPr>
                <w:rFonts w:hint="eastAsia" w:ascii="仿宋" w:hAnsi="仿宋" w:eastAsia="仿宋" w:cs="仿宋"/>
                <w:kern w:val="0"/>
                <w:szCs w:val="21"/>
              </w:rPr>
              <w:t>④项目实施的人员条件、场地设备、信息支撑等是否落实到位。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114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产出</w:t>
            </w:r>
          </w:p>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（40分）</w:t>
            </w:r>
          </w:p>
        </w:tc>
        <w:tc>
          <w:tcPr>
            <w:tcW w:w="1361"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产出数量</w:t>
            </w:r>
          </w:p>
        </w:tc>
        <w:tc>
          <w:tcPr>
            <w:tcW w:w="59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15</w:t>
            </w:r>
          </w:p>
        </w:tc>
        <w:tc>
          <w:tcPr>
            <w:tcW w:w="1963" w:type="dxa"/>
            <w:shd w:val="clear" w:color="auto" w:fill="FFFFFF"/>
            <w:vAlign w:val="center"/>
          </w:tcPr>
          <w:p>
            <w:pPr>
              <w:widowControl/>
              <w:spacing w:line="240" w:lineRule="exact"/>
              <w:rPr>
                <w:rFonts w:ascii="仿宋" w:hAnsi="仿宋" w:eastAsia="仿宋" w:cs="仿宋"/>
                <w:color w:val="000000"/>
                <w:kern w:val="0"/>
                <w:szCs w:val="21"/>
              </w:rPr>
            </w:pPr>
            <w:r>
              <w:rPr>
                <w:rFonts w:hint="eastAsia" w:ascii="仿宋" w:hAnsi="仿宋" w:eastAsia="仿宋" w:cs="仿宋"/>
                <w:color w:val="000000"/>
                <w:kern w:val="0"/>
                <w:szCs w:val="21"/>
              </w:rPr>
              <w:t>按实际8</w:t>
            </w:r>
            <w:r>
              <w:rPr>
                <w:rFonts w:ascii="仿宋" w:hAnsi="仿宋" w:eastAsia="仿宋" w:cs="仿宋"/>
                <w:color w:val="000000"/>
                <w:kern w:val="0"/>
                <w:szCs w:val="21"/>
              </w:rPr>
              <w:t>42</w:t>
            </w:r>
            <w:r>
              <w:rPr>
                <w:rFonts w:hint="eastAsia" w:ascii="仿宋" w:hAnsi="仿宋" w:eastAsia="仿宋" w:cs="仿宋"/>
                <w:color w:val="000000"/>
                <w:kern w:val="0"/>
                <w:szCs w:val="21"/>
              </w:rPr>
              <w:t>人支出</w:t>
            </w:r>
          </w:p>
        </w:tc>
        <w:tc>
          <w:tcPr>
            <w:tcW w:w="706"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w:t>
            </w:r>
            <w:r>
              <w:rPr>
                <w:rFonts w:ascii="仿宋" w:hAnsi="仿宋" w:eastAsia="仿宋" w:cs="仿宋"/>
                <w:color w:val="000000"/>
                <w:kern w:val="0"/>
                <w:szCs w:val="21"/>
              </w:rPr>
              <w:t>5</w:t>
            </w:r>
          </w:p>
        </w:tc>
        <w:tc>
          <w:tcPr>
            <w:tcW w:w="3980" w:type="dxa"/>
            <w:shd w:val="clear" w:color="000000" w:fill="FFFFFF"/>
            <w:vAlign w:val="center"/>
          </w:tcPr>
          <w:p>
            <w:pPr>
              <w:spacing w:line="240" w:lineRule="exact"/>
              <w:rPr>
                <w:rFonts w:ascii="仿宋" w:hAnsi="仿宋" w:eastAsia="仿宋" w:cs="仿宋"/>
                <w:color w:val="000000"/>
                <w:kern w:val="0"/>
                <w:szCs w:val="21"/>
              </w:rPr>
            </w:pPr>
            <w:r>
              <w:rPr>
                <w:rFonts w:hint="eastAsia" w:ascii="仿宋" w:hAnsi="仿宋" w:eastAsia="仿宋" w:cs="仿宋"/>
                <w:color w:val="000000"/>
                <w:kern w:val="0"/>
                <w:szCs w:val="21"/>
              </w:rPr>
              <w:t>按实际人数支出1</w:t>
            </w:r>
            <w:r>
              <w:rPr>
                <w:rFonts w:ascii="仿宋" w:hAnsi="仿宋" w:eastAsia="仿宋" w:cs="仿宋"/>
                <w:color w:val="000000"/>
                <w:kern w:val="0"/>
                <w:szCs w:val="21"/>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产出质量</w:t>
            </w:r>
          </w:p>
        </w:tc>
        <w:tc>
          <w:tcPr>
            <w:tcW w:w="59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15</w:t>
            </w: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社区干部工作达标率</w:t>
            </w:r>
          </w:p>
        </w:tc>
        <w:tc>
          <w:tcPr>
            <w:tcW w:w="706"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15</w:t>
            </w:r>
          </w:p>
        </w:tc>
        <w:tc>
          <w:tcPr>
            <w:tcW w:w="3980" w:type="dxa"/>
            <w:shd w:val="clear" w:color="000000" w:fill="FFFFFF"/>
            <w:vAlign w:val="center"/>
          </w:tcPr>
          <w:p>
            <w:pPr>
              <w:widowControl/>
              <w:spacing w:line="240" w:lineRule="exact"/>
              <w:rPr>
                <w:rFonts w:ascii="仿宋" w:hAnsi="仿宋" w:eastAsia="仿宋" w:cs="仿宋"/>
                <w:color w:val="000000"/>
                <w:kern w:val="0"/>
                <w:szCs w:val="21"/>
              </w:rPr>
            </w:pPr>
            <w:r>
              <w:rPr>
                <w:rFonts w:hint="eastAsia" w:ascii="仿宋" w:hAnsi="仿宋" w:eastAsia="仿宋" w:cs="仿宋"/>
                <w:color w:val="000000"/>
                <w:kern w:val="0"/>
                <w:szCs w:val="21"/>
              </w:rPr>
              <w:t>达到要求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shd w:val="clear" w:color="auto" w:fill="FFFFFF"/>
            <w:vAlign w:val="center"/>
          </w:tcPr>
          <w:p>
            <w:pPr>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产出时效</w:t>
            </w:r>
          </w:p>
        </w:tc>
        <w:tc>
          <w:tcPr>
            <w:tcW w:w="596" w:type="dxa"/>
            <w:shd w:val="clear" w:color="auto" w:fill="FFFFFF"/>
            <w:vAlign w:val="center"/>
          </w:tcPr>
          <w:p>
            <w:pPr>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资金拨付及时性</w:t>
            </w:r>
          </w:p>
        </w:tc>
        <w:tc>
          <w:tcPr>
            <w:tcW w:w="706"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c>
          <w:tcPr>
            <w:tcW w:w="3980" w:type="dxa"/>
            <w:shd w:val="clear" w:color="000000" w:fill="FFFFFF"/>
            <w:vAlign w:val="center"/>
          </w:tcPr>
          <w:p>
            <w:pPr>
              <w:widowControl/>
              <w:spacing w:line="240" w:lineRule="exact"/>
              <w:rPr>
                <w:rFonts w:ascii="仿宋" w:hAnsi="仿宋" w:eastAsia="仿宋" w:cs="仿宋"/>
                <w:color w:val="000000"/>
                <w:kern w:val="0"/>
                <w:szCs w:val="21"/>
              </w:rPr>
            </w:pPr>
            <w:r>
              <w:rPr>
                <w:rFonts w:hint="eastAsia" w:ascii="仿宋" w:hAnsi="仿宋" w:eastAsia="仿宋" w:cs="仿宋"/>
                <w:color w:val="000000"/>
                <w:kern w:val="0"/>
                <w:szCs w:val="21"/>
              </w:rPr>
              <w:t>按时完成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产出成本</w:t>
            </w:r>
          </w:p>
        </w:tc>
        <w:tc>
          <w:tcPr>
            <w:tcW w:w="59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项目资金费用</w:t>
            </w:r>
          </w:p>
        </w:tc>
        <w:tc>
          <w:tcPr>
            <w:tcW w:w="706"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c>
          <w:tcPr>
            <w:tcW w:w="3980" w:type="dxa"/>
            <w:shd w:val="clear" w:color="000000" w:fill="FFFFFF"/>
            <w:vAlign w:val="center"/>
          </w:tcPr>
          <w:p>
            <w:pPr>
              <w:widowControl/>
              <w:spacing w:line="240" w:lineRule="exact"/>
              <w:rPr>
                <w:rFonts w:ascii="仿宋" w:hAnsi="仿宋" w:eastAsia="仿宋" w:cs="仿宋"/>
                <w:color w:val="000000"/>
                <w:kern w:val="0"/>
                <w:szCs w:val="21"/>
              </w:rPr>
            </w:pPr>
            <w:r>
              <w:rPr>
                <w:rFonts w:hint="eastAsia" w:ascii="仿宋" w:hAnsi="仿宋" w:eastAsia="仿宋" w:cs="仿宋"/>
                <w:color w:val="000000"/>
                <w:kern w:val="0"/>
                <w:szCs w:val="21"/>
              </w:rPr>
              <w:t>项目资金费用为</w:t>
            </w:r>
            <w:r>
              <w:rPr>
                <w:rFonts w:ascii="仿宋" w:hAnsi="仿宋" w:eastAsia="仿宋" w:cs="仿宋"/>
                <w:color w:val="000000"/>
                <w:kern w:val="0"/>
                <w:szCs w:val="21"/>
              </w:rPr>
              <w:t>6918.68</w:t>
            </w:r>
            <w:r>
              <w:rPr>
                <w:rFonts w:hint="eastAsia" w:ascii="仿宋" w:hAnsi="仿宋" w:eastAsia="仿宋" w:cs="仿宋"/>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114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效益</w:t>
            </w:r>
          </w:p>
          <w:p>
            <w:pPr>
              <w:pStyle w:val="4"/>
              <w:rPr>
                <w:sz w:val="21"/>
                <w:szCs w:val="21"/>
              </w:rPr>
            </w:pPr>
            <w:r>
              <w:rPr>
                <w:rFonts w:hint="eastAsia" w:eastAsia="仿宋" w:cs="仿宋"/>
                <w:color w:val="000000"/>
                <w:kern w:val="0"/>
                <w:sz w:val="21"/>
                <w:szCs w:val="21"/>
              </w:rPr>
              <w:t>（30分）</w:t>
            </w:r>
          </w:p>
          <w:p>
            <w:pPr>
              <w:widowControl/>
              <w:spacing w:line="240" w:lineRule="exact"/>
              <w:jc w:val="center"/>
              <w:rPr>
                <w:rFonts w:ascii="仿宋" w:hAnsi="仿宋" w:eastAsia="仿宋" w:cs="仿宋"/>
                <w:color w:val="000000"/>
                <w:kern w:val="0"/>
                <w:szCs w:val="21"/>
              </w:rPr>
            </w:pPr>
          </w:p>
          <w:p>
            <w:pPr>
              <w:widowControl/>
              <w:spacing w:line="240" w:lineRule="exact"/>
              <w:jc w:val="center"/>
              <w:rPr>
                <w:rFonts w:ascii="仿宋" w:hAnsi="仿宋" w:eastAsia="仿宋" w:cs="仿宋"/>
                <w:color w:val="000000"/>
                <w:kern w:val="0"/>
                <w:szCs w:val="21"/>
              </w:rPr>
            </w:pPr>
          </w:p>
        </w:tc>
        <w:tc>
          <w:tcPr>
            <w:tcW w:w="1361"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社会效益</w:t>
            </w:r>
          </w:p>
        </w:tc>
        <w:tc>
          <w:tcPr>
            <w:tcW w:w="59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20</w:t>
            </w: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社区工作者服务水平</w:t>
            </w:r>
          </w:p>
        </w:tc>
        <w:tc>
          <w:tcPr>
            <w:tcW w:w="70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20</w:t>
            </w:r>
          </w:p>
        </w:tc>
        <w:tc>
          <w:tcPr>
            <w:tcW w:w="3980" w:type="dxa"/>
            <w:shd w:val="clear" w:color="auto" w:fill="FFFFFF"/>
            <w:vAlign w:val="center"/>
          </w:tcPr>
          <w:p>
            <w:pPr>
              <w:widowControl/>
              <w:spacing w:line="240" w:lineRule="exact"/>
              <w:rPr>
                <w:rFonts w:ascii="仿宋" w:hAnsi="仿宋" w:eastAsia="仿宋" w:cs="仿宋"/>
                <w:color w:val="000000"/>
                <w:kern w:val="0"/>
                <w:szCs w:val="21"/>
              </w:rPr>
            </w:pPr>
            <w:r>
              <w:rPr>
                <w:rFonts w:hint="eastAsia" w:ascii="仿宋" w:hAnsi="仿宋" w:eastAsia="仿宋" w:cs="仿宋"/>
                <w:color w:val="000000"/>
                <w:kern w:val="0"/>
                <w:szCs w:val="21"/>
              </w:rPr>
              <w:t>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满意度</w:t>
            </w:r>
          </w:p>
        </w:tc>
        <w:tc>
          <w:tcPr>
            <w:tcW w:w="59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10</w:t>
            </w: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社区工作者满意度</w:t>
            </w:r>
          </w:p>
        </w:tc>
        <w:tc>
          <w:tcPr>
            <w:tcW w:w="70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10</w:t>
            </w:r>
          </w:p>
        </w:tc>
        <w:tc>
          <w:tcPr>
            <w:tcW w:w="3980" w:type="dxa"/>
            <w:shd w:val="clear" w:color="auto" w:fill="FFFFFF"/>
            <w:vAlign w:val="center"/>
          </w:tcPr>
          <w:p>
            <w:pPr>
              <w:widowControl/>
              <w:spacing w:line="240" w:lineRule="exact"/>
              <w:rPr>
                <w:rFonts w:ascii="仿宋" w:hAnsi="仿宋" w:eastAsia="仿宋" w:cs="仿宋"/>
                <w:color w:val="000000"/>
                <w:kern w:val="0"/>
                <w:szCs w:val="21"/>
              </w:rPr>
            </w:pPr>
            <w:r>
              <w:rPr>
                <w:rFonts w:hint="eastAsia" w:ascii="仿宋" w:hAnsi="仿宋" w:eastAsia="仿宋" w:cs="仿宋"/>
                <w:color w:val="000000"/>
                <w:kern w:val="0"/>
                <w:szCs w:val="21"/>
              </w:rPr>
              <w:t>社区工作者满意度≥95%</w:t>
            </w:r>
          </w:p>
        </w:tc>
      </w:tr>
    </w:tbl>
    <w:p/>
    <w:p>
      <w:pPr>
        <w:numPr>
          <w:ilvl w:val="0"/>
          <w:numId w:val="3"/>
        </w:numPr>
        <w:jc w:val="left"/>
        <w:rPr>
          <w:rFonts w:ascii="华文仿宋" w:hAnsi="华文仿宋" w:eastAsia="华文仿宋" w:cs="华文仿宋"/>
          <w:b/>
          <w:bCs/>
          <w:sz w:val="28"/>
          <w:szCs w:val="28"/>
        </w:rPr>
      </w:pPr>
      <w:r>
        <w:rPr>
          <w:rFonts w:hint="eastAsia" w:ascii="华文仿宋" w:hAnsi="华文仿宋" w:eastAsia="华文仿宋" w:cs="华文仿宋"/>
          <w:b/>
          <w:bCs/>
          <w:sz w:val="28"/>
          <w:szCs w:val="28"/>
        </w:rPr>
        <w:t>评价方法</w:t>
      </w:r>
    </w:p>
    <w:p>
      <w:pPr>
        <w:widowControl/>
        <w:ind w:firstLine="560" w:firstLineChars="200"/>
        <w:jc w:val="left"/>
        <w:rPr>
          <w:rFonts w:ascii="华文仿宋" w:hAnsi="华文仿宋" w:eastAsia="华文仿宋" w:cs="华文仿宋"/>
          <w:color w:val="000000"/>
          <w:kern w:val="0"/>
          <w:sz w:val="28"/>
          <w:szCs w:val="28"/>
          <w:lang w:bidi="ar"/>
        </w:rPr>
      </w:pPr>
      <w:r>
        <w:rPr>
          <w:rFonts w:hint="eastAsia" w:ascii="华文仿宋" w:hAnsi="华文仿宋" w:eastAsia="华文仿宋" w:cs="华文仿宋"/>
          <w:color w:val="000000"/>
          <w:kern w:val="0"/>
          <w:sz w:val="28"/>
          <w:szCs w:val="28"/>
          <w:lang w:bidi="ar"/>
        </w:rPr>
        <w:t>财政和部门评价的方法主要包括成本效益分析法、比较法、因素分析法、最低成本法、标杆管理法等。根据评价对象的具体情况，可采用一种或多种方法。</w:t>
      </w:r>
    </w:p>
    <w:p>
      <w:pPr>
        <w:widowControl/>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 xml:space="preserve">（1）成本效益分析法。该项目将投入与产出、效益进行关联性分析的方法。 </w:t>
      </w:r>
    </w:p>
    <w:p>
      <w:pPr>
        <w:widowControl/>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 xml:space="preserve">（2）比较法。该项目将实施情况与绩效目标、历史情况、不同部门和地区同类支出情况进行比较的方法。 </w:t>
      </w:r>
    </w:p>
    <w:p>
      <w:pPr>
        <w:widowControl/>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 xml:space="preserve">（3）因素分析法。该项目综合分析影响绩效目标实现、实施效果的内外部因素的方法。 </w:t>
      </w:r>
    </w:p>
    <w:p>
      <w:pPr>
        <w:widowControl/>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 xml:space="preserve">（4）最低成本法。该项目在绩效目标确定的前提下，成本最小者为优的办法。 </w:t>
      </w:r>
    </w:p>
    <w:p>
      <w:pPr>
        <w:widowControl/>
        <w:jc w:val="left"/>
        <w:rPr>
          <w:rFonts w:ascii="华文仿宋" w:hAnsi="华文仿宋" w:eastAsia="华文仿宋" w:cs="华文仿宋"/>
          <w:color w:val="000000"/>
          <w:kern w:val="0"/>
          <w:sz w:val="28"/>
          <w:szCs w:val="28"/>
          <w:lang w:bidi="ar"/>
        </w:rPr>
      </w:pPr>
      <w:r>
        <w:rPr>
          <w:rFonts w:hint="eastAsia" w:ascii="华文仿宋" w:hAnsi="华文仿宋" w:eastAsia="华文仿宋" w:cs="华文仿宋"/>
          <w:color w:val="000000"/>
          <w:kern w:val="0"/>
          <w:sz w:val="28"/>
          <w:szCs w:val="28"/>
          <w:lang w:bidi="ar"/>
        </w:rPr>
        <w:t xml:space="preserve">（5）标杆管理法。该项目以国内外同行业中较高的绩效水平为标杆进行评判的方法。 </w:t>
      </w:r>
    </w:p>
    <w:p>
      <w:pPr>
        <w:widowControl/>
        <w:jc w:val="left"/>
        <w:rPr>
          <w:rFonts w:ascii="华文仿宋" w:hAnsi="华文仿宋" w:eastAsia="华文仿宋" w:cs="华文仿宋"/>
          <w:b/>
          <w:bCs/>
          <w:color w:val="000000"/>
          <w:kern w:val="0"/>
          <w:sz w:val="28"/>
          <w:szCs w:val="28"/>
          <w:lang w:bidi="ar"/>
        </w:rPr>
      </w:pPr>
      <w:r>
        <w:rPr>
          <w:rFonts w:hint="eastAsia" w:ascii="华文仿宋" w:hAnsi="华文仿宋" w:eastAsia="华文仿宋" w:cs="华文仿宋"/>
          <w:b/>
          <w:bCs/>
          <w:color w:val="000000"/>
          <w:kern w:val="0"/>
          <w:sz w:val="28"/>
          <w:szCs w:val="28"/>
          <w:lang w:bidi="ar"/>
        </w:rPr>
        <w:t>4、评价标准</w:t>
      </w:r>
    </w:p>
    <w:p>
      <w:pPr>
        <w:widowControl/>
        <w:ind w:firstLine="560" w:firstLineChars="200"/>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 xml:space="preserve">绩效评价标准通常包括计划标准、行业标准、历史标准等，用于对绩效指标完成情况进行比较。 </w:t>
      </w:r>
    </w:p>
    <w:p>
      <w:pPr>
        <w:widowControl/>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 xml:space="preserve">（1）计划标准。按照预先制定的目标、计划、预算、定额等作为评价标准。 </w:t>
      </w:r>
    </w:p>
    <w:p>
      <w:pPr>
        <w:widowControl/>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（2）行业标准。参照国家公布的行业指标数据制定的评价标准来评价。</w:t>
      </w:r>
    </w:p>
    <w:p>
      <w:pPr>
        <w:widowControl/>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 xml:space="preserve">（3）历史标准。参照历史数据制定的评价标准，为体现绩效改进的原则，在可实现的条件下来确定相对较高的评价标准。 </w:t>
      </w:r>
    </w:p>
    <w:p>
      <w:pPr>
        <w:numPr>
          <w:ilvl w:val="0"/>
          <w:numId w:val="2"/>
        </w:numPr>
        <w:jc w:val="left"/>
        <w:rPr>
          <w:rFonts w:ascii="华文仿宋" w:hAnsi="华文仿宋" w:eastAsia="华文仿宋" w:cs="华文仿宋"/>
          <w:b/>
          <w:bCs/>
          <w:sz w:val="28"/>
          <w:szCs w:val="28"/>
        </w:rPr>
      </w:pPr>
      <w:r>
        <w:rPr>
          <w:rFonts w:hint="eastAsia" w:ascii="华文仿宋" w:hAnsi="华文仿宋" w:eastAsia="华文仿宋" w:cs="华文仿宋"/>
          <w:b/>
          <w:bCs/>
          <w:sz w:val="28"/>
          <w:szCs w:val="28"/>
        </w:rPr>
        <w:t>绩效评价工作过程</w:t>
      </w:r>
    </w:p>
    <w:p>
      <w:pPr>
        <w:widowControl/>
        <w:spacing w:line="600" w:lineRule="exact"/>
        <w:ind w:firstLine="560" w:firstLineChars="200"/>
        <w:jc w:val="left"/>
        <w:rPr>
          <w:rFonts w:ascii="华文仿宋" w:hAnsi="华文仿宋" w:eastAsia="华文仿宋" w:cs="华文仿宋"/>
          <w:sz w:val="28"/>
          <w:szCs w:val="28"/>
        </w:rPr>
      </w:pPr>
      <w:r>
        <w:rPr>
          <w:rFonts w:hint="eastAsia" w:ascii="华文仿宋" w:hAnsi="华文仿宋" w:eastAsia="华文仿宋" w:cs="华文仿宋"/>
          <w:sz w:val="28"/>
          <w:szCs w:val="28"/>
        </w:rPr>
        <w:t>根据</w:t>
      </w:r>
      <w:r>
        <w:rPr>
          <w:rFonts w:hint="eastAsia" w:ascii="华文仿宋" w:hAnsi="华文仿宋" w:eastAsia="华文仿宋" w:cs="华文仿宋"/>
          <w:color w:val="000000"/>
          <w:kern w:val="0"/>
          <w:sz w:val="28"/>
          <w:szCs w:val="28"/>
          <w:lang w:bidi="ar"/>
        </w:rPr>
        <w:t>《中共江西省委江西省人民政府关于全面实施预算绩效管理的实施意见》、</w:t>
      </w:r>
      <w:r>
        <w:rPr>
          <w:rFonts w:hint="eastAsia" w:ascii="华文仿宋" w:hAnsi="华文仿宋" w:eastAsia="华文仿宋" w:cs="华文仿宋"/>
          <w:sz w:val="28"/>
          <w:szCs w:val="28"/>
        </w:rPr>
        <w:t>《中共南昌市委南昌市人民政府关于全面实施预算绩效管理的实施意见》及《南昌市财政项目支出绩效评价管理办法》，成立项目绩效评价工作小组，具体实施项目资金绩效评价工作。</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1、制定项目绩效评价工作方案，包括项目绩效评价实施方案、评价指标体系及评价标准、评价调查问卷、基础数据表、绩效评价资料清单等。</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2、根据制定的项目资金绩效评价工作方案，收集项目支出情况材料，前往项目实施地，通过现场评价方法进行绩效评价。包括收集、审核基础资料；开展现场核查，核实项目是否实施以及项目实施情况是否良好；对收集的证据运用科学的方法进行综合分析。</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3、根据分析后的情况评分，形成综合评价结果，将评价结果纳入已确定的各项指标临界区间进行比较，确定绩效评价等级。</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4、对项目资金绩效评价工作进行总结，将项目支出基本情况、绩效评价工作情况、评价分析及评价结果、评价等级、经验及做法、问题及建议等形成书面报告。</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5、建立绩效评价工作档案。根据档案管理的相关要求，建立项目绩效评价工作档案，单独保存所有评价过程中的文件证据及数据报告等资料。</w:t>
      </w:r>
    </w:p>
    <w:p>
      <w:pPr>
        <w:spacing w:line="580" w:lineRule="exact"/>
        <w:rPr>
          <w:rFonts w:ascii="仿宋_GB2312" w:hAnsi="仿宋_GB2312" w:eastAsia="仿宋_GB2312" w:cs="仿宋_GB2312"/>
          <w:b/>
          <w:bCs/>
          <w:sz w:val="32"/>
          <w:szCs w:val="32"/>
        </w:rPr>
      </w:pPr>
    </w:p>
    <w:p>
      <w:pPr>
        <w:spacing w:line="580" w:lineRule="exac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三、综合评价情况及评价结论（附相关评分表）</w:t>
      </w:r>
    </w:p>
    <w:p>
      <w:pPr>
        <w:spacing w:line="580" w:lineRule="exact"/>
        <w:rPr>
          <w:rFonts w:ascii="华文仿宋" w:hAnsi="华文仿宋" w:eastAsia="华文仿宋" w:cs="华文仿宋"/>
          <w:b/>
          <w:bCs/>
          <w:sz w:val="28"/>
          <w:szCs w:val="28"/>
        </w:rPr>
      </w:pPr>
      <w:r>
        <w:rPr>
          <w:rFonts w:hint="eastAsia" w:ascii="华文仿宋" w:hAnsi="华文仿宋" w:eastAsia="华文仿宋" w:cs="华文仿宋"/>
          <w:b/>
          <w:bCs/>
          <w:sz w:val="28"/>
          <w:szCs w:val="28"/>
        </w:rPr>
        <w:t>（一）综合评价情况</w:t>
      </w:r>
    </w:p>
    <w:p>
      <w:pPr>
        <w:widowControl/>
        <w:ind w:firstLine="560" w:firstLineChars="200"/>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按照绩效评价指标体系，对 2022 年度红谷滩区社区经费项目项目进行了绩效评价，总得分为 9</w:t>
      </w:r>
      <w:r>
        <w:rPr>
          <w:rFonts w:ascii="华文仿宋" w:hAnsi="华文仿宋" w:eastAsia="华文仿宋" w:cs="华文仿宋"/>
          <w:color w:val="000000"/>
          <w:kern w:val="0"/>
          <w:sz w:val="28"/>
          <w:szCs w:val="28"/>
          <w:lang w:bidi="ar"/>
        </w:rPr>
        <w:t>3</w:t>
      </w:r>
      <w:r>
        <w:rPr>
          <w:rFonts w:hint="eastAsia" w:ascii="华文仿宋" w:hAnsi="华文仿宋" w:eastAsia="华文仿宋" w:cs="华文仿宋"/>
          <w:color w:val="000000"/>
          <w:kern w:val="0"/>
          <w:sz w:val="28"/>
          <w:szCs w:val="28"/>
          <w:lang w:bidi="ar"/>
        </w:rPr>
        <w:t xml:space="preserve"> 分，详细见下表：</w:t>
      </w:r>
    </w:p>
    <w:tbl>
      <w:tblPr>
        <w:tblStyle w:val="6"/>
        <w:tblW w:w="97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1"/>
        <w:gridCol w:w="1361"/>
        <w:gridCol w:w="596"/>
        <w:gridCol w:w="3243"/>
        <w:gridCol w:w="1418"/>
        <w:gridCol w:w="1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blHeader/>
          <w:jc w:val="center"/>
        </w:trPr>
        <w:tc>
          <w:tcPr>
            <w:tcW w:w="1141"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一级</w:t>
            </w:r>
          </w:p>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指标</w:t>
            </w:r>
          </w:p>
        </w:tc>
        <w:tc>
          <w:tcPr>
            <w:tcW w:w="1361"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二级指标</w:t>
            </w:r>
          </w:p>
        </w:tc>
        <w:tc>
          <w:tcPr>
            <w:tcW w:w="596"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分</w:t>
            </w:r>
          </w:p>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值</w:t>
            </w:r>
          </w:p>
        </w:tc>
        <w:tc>
          <w:tcPr>
            <w:tcW w:w="3243"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三级指标</w:t>
            </w:r>
          </w:p>
        </w:tc>
        <w:tc>
          <w:tcPr>
            <w:tcW w:w="1418"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分值</w:t>
            </w:r>
          </w:p>
        </w:tc>
        <w:tc>
          <w:tcPr>
            <w:tcW w:w="1988"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14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决策　</w:t>
            </w:r>
          </w:p>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　</w:t>
            </w:r>
          </w:p>
          <w:p>
            <w:pPr>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（15分）　</w:t>
            </w:r>
          </w:p>
        </w:tc>
        <w:tc>
          <w:tcPr>
            <w:tcW w:w="136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项目立项　</w:t>
            </w:r>
          </w:p>
        </w:tc>
        <w:tc>
          <w:tcPr>
            <w:tcW w:w="596"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4</w:t>
            </w: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立项依据充分性</w:t>
            </w:r>
          </w:p>
        </w:tc>
        <w:tc>
          <w:tcPr>
            <w:tcW w:w="141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c>
          <w:tcPr>
            <w:tcW w:w="198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立项程序规范性</w:t>
            </w:r>
          </w:p>
        </w:tc>
        <w:tc>
          <w:tcPr>
            <w:tcW w:w="141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c>
          <w:tcPr>
            <w:tcW w:w="198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绩效目标　</w:t>
            </w:r>
          </w:p>
        </w:tc>
        <w:tc>
          <w:tcPr>
            <w:tcW w:w="596"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6</w:t>
            </w: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绩效目标合理性</w:t>
            </w:r>
          </w:p>
        </w:tc>
        <w:tc>
          <w:tcPr>
            <w:tcW w:w="141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198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绩效指标明确性</w:t>
            </w:r>
          </w:p>
        </w:tc>
        <w:tc>
          <w:tcPr>
            <w:tcW w:w="141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198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资金投入　</w:t>
            </w:r>
          </w:p>
        </w:tc>
        <w:tc>
          <w:tcPr>
            <w:tcW w:w="596"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预算编制科学性</w:t>
            </w:r>
          </w:p>
        </w:tc>
        <w:tc>
          <w:tcPr>
            <w:tcW w:w="141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1988" w:type="dxa"/>
            <w:shd w:val="clear" w:color="auto" w:fill="FFFFFF"/>
            <w:vAlign w:val="center"/>
          </w:tcPr>
          <w:p>
            <w:pPr>
              <w:widowControl/>
              <w:spacing w:line="240" w:lineRule="exact"/>
              <w:jc w:val="center"/>
              <w:rPr>
                <w:rFonts w:ascii="仿宋" w:hAnsi="仿宋" w:eastAsia="仿宋" w:cs="仿宋"/>
                <w:kern w:val="0"/>
                <w:szCs w:val="21"/>
              </w:rPr>
            </w:pPr>
            <w:r>
              <w:rPr>
                <w:rFonts w:hint="eastAsia" w:ascii="仿宋" w:hAnsi="仿宋" w:eastAsia="仿宋" w:cs="仿宋"/>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资金分配合理性</w:t>
            </w:r>
          </w:p>
        </w:tc>
        <w:tc>
          <w:tcPr>
            <w:tcW w:w="141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c>
          <w:tcPr>
            <w:tcW w:w="1988" w:type="dxa"/>
            <w:shd w:val="clear" w:color="auto" w:fill="FFFFFF"/>
            <w:vAlign w:val="center"/>
          </w:tcPr>
          <w:p>
            <w:pPr>
              <w:widowControl/>
              <w:spacing w:line="240" w:lineRule="exact"/>
              <w:jc w:val="center"/>
              <w:rPr>
                <w:rFonts w:ascii="仿宋" w:hAnsi="仿宋" w:eastAsia="仿宋" w:cs="仿宋"/>
                <w:kern w:val="0"/>
                <w:szCs w:val="21"/>
              </w:rPr>
            </w:pPr>
            <w:r>
              <w:rPr>
                <w:rFonts w:hint="eastAsia" w:ascii="仿宋" w:hAnsi="仿宋" w:eastAsia="仿宋" w:cs="仿宋"/>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141" w:type="dxa"/>
            <w:vMerge w:val="restart"/>
            <w:shd w:val="clear" w:color="auto" w:fill="FFFFFF"/>
            <w:vAlign w:val="center"/>
          </w:tcPr>
          <w:p>
            <w:pPr>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过程</w:t>
            </w:r>
          </w:p>
          <w:p>
            <w:pPr>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（15分）</w:t>
            </w:r>
          </w:p>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36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资金管理</w:t>
            </w:r>
          </w:p>
        </w:tc>
        <w:tc>
          <w:tcPr>
            <w:tcW w:w="596"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8</w:t>
            </w: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资金到位率</w:t>
            </w:r>
          </w:p>
        </w:tc>
        <w:tc>
          <w:tcPr>
            <w:tcW w:w="141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c>
          <w:tcPr>
            <w:tcW w:w="198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预算执行率</w:t>
            </w:r>
          </w:p>
        </w:tc>
        <w:tc>
          <w:tcPr>
            <w:tcW w:w="141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1988" w:type="dxa"/>
            <w:shd w:val="clear" w:color="auto" w:fill="FFFFFF"/>
            <w:vAlign w:val="center"/>
          </w:tcPr>
          <w:p>
            <w:pPr>
              <w:widowControl/>
              <w:spacing w:line="240" w:lineRule="exact"/>
              <w:jc w:val="center"/>
              <w:rPr>
                <w:rFonts w:ascii="仿宋" w:hAnsi="仿宋" w:eastAsia="仿宋" w:cs="仿宋"/>
                <w:color w:val="000000"/>
                <w:kern w:val="0"/>
                <w:szCs w:val="21"/>
              </w:rPr>
            </w:pPr>
            <w:r>
              <w:rPr>
                <w:rFonts w:ascii="仿宋" w:hAnsi="仿宋" w:eastAsia="仿宋" w:cs="仿宋"/>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资金使用合规性</w:t>
            </w:r>
          </w:p>
        </w:tc>
        <w:tc>
          <w:tcPr>
            <w:tcW w:w="141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198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组织实施　</w:t>
            </w:r>
          </w:p>
        </w:tc>
        <w:tc>
          <w:tcPr>
            <w:tcW w:w="596"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7</w:t>
            </w: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管理制度健全性</w:t>
            </w:r>
          </w:p>
        </w:tc>
        <w:tc>
          <w:tcPr>
            <w:tcW w:w="141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198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制度执行有效性</w:t>
            </w:r>
          </w:p>
        </w:tc>
        <w:tc>
          <w:tcPr>
            <w:tcW w:w="141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4</w:t>
            </w:r>
          </w:p>
        </w:tc>
        <w:tc>
          <w:tcPr>
            <w:tcW w:w="198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14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产出</w:t>
            </w:r>
          </w:p>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（40分）</w:t>
            </w:r>
          </w:p>
        </w:tc>
        <w:tc>
          <w:tcPr>
            <w:tcW w:w="1361"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产出数量</w:t>
            </w:r>
          </w:p>
        </w:tc>
        <w:tc>
          <w:tcPr>
            <w:tcW w:w="59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15</w:t>
            </w: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按实际情况支出率</w:t>
            </w:r>
          </w:p>
        </w:tc>
        <w:tc>
          <w:tcPr>
            <w:tcW w:w="141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w:t>
            </w:r>
            <w:r>
              <w:rPr>
                <w:rFonts w:ascii="仿宋" w:hAnsi="仿宋" w:eastAsia="仿宋" w:cs="仿宋"/>
                <w:color w:val="000000"/>
                <w:kern w:val="0"/>
                <w:szCs w:val="21"/>
              </w:rPr>
              <w:t>5</w:t>
            </w:r>
          </w:p>
        </w:tc>
        <w:tc>
          <w:tcPr>
            <w:tcW w:w="198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w:t>
            </w:r>
            <w:r>
              <w:rPr>
                <w:rFonts w:ascii="仿宋" w:hAnsi="仿宋" w:eastAsia="仿宋" w:cs="仿宋"/>
                <w:color w:val="000000"/>
                <w:kern w:val="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产出质量</w:t>
            </w:r>
          </w:p>
        </w:tc>
        <w:tc>
          <w:tcPr>
            <w:tcW w:w="59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15</w:t>
            </w: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社区工作质量达标率</w:t>
            </w:r>
          </w:p>
        </w:tc>
        <w:tc>
          <w:tcPr>
            <w:tcW w:w="141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15</w:t>
            </w:r>
          </w:p>
        </w:tc>
        <w:tc>
          <w:tcPr>
            <w:tcW w:w="198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shd w:val="clear" w:color="auto" w:fill="FFFFFF"/>
            <w:vAlign w:val="center"/>
          </w:tcPr>
          <w:p>
            <w:pPr>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产出时效</w:t>
            </w:r>
          </w:p>
        </w:tc>
        <w:tc>
          <w:tcPr>
            <w:tcW w:w="596" w:type="dxa"/>
            <w:shd w:val="clear" w:color="auto" w:fill="FFFFFF"/>
            <w:vAlign w:val="center"/>
          </w:tcPr>
          <w:p>
            <w:pPr>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各项工作完成及时性</w:t>
            </w:r>
          </w:p>
        </w:tc>
        <w:tc>
          <w:tcPr>
            <w:tcW w:w="141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c>
          <w:tcPr>
            <w:tcW w:w="198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产出成本</w:t>
            </w:r>
          </w:p>
        </w:tc>
        <w:tc>
          <w:tcPr>
            <w:tcW w:w="59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项目资金费用</w:t>
            </w:r>
          </w:p>
        </w:tc>
        <w:tc>
          <w:tcPr>
            <w:tcW w:w="141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c>
          <w:tcPr>
            <w:tcW w:w="198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ascii="仿宋" w:hAnsi="仿宋" w:eastAsia="仿宋" w:cs="仿宋"/>
                <w:color w:val="000000"/>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14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效益</w:t>
            </w:r>
          </w:p>
          <w:p>
            <w:pPr>
              <w:pStyle w:val="4"/>
              <w:rPr>
                <w:sz w:val="21"/>
                <w:szCs w:val="21"/>
              </w:rPr>
            </w:pPr>
            <w:r>
              <w:rPr>
                <w:rFonts w:hint="eastAsia" w:eastAsia="仿宋" w:cs="仿宋"/>
                <w:color w:val="000000"/>
                <w:kern w:val="0"/>
                <w:sz w:val="21"/>
                <w:szCs w:val="21"/>
              </w:rPr>
              <w:t>（30分）</w:t>
            </w:r>
          </w:p>
          <w:p>
            <w:pPr>
              <w:widowControl/>
              <w:spacing w:line="240" w:lineRule="exact"/>
              <w:jc w:val="center"/>
              <w:rPr>
                <w:rFonts w:ascii="仿宋" w:hAnsi="仿宋" w:eastAsia="仿宋" w:cs="仿宋"/>
                <w:color w:val="000000"/>
                <w:kern w:val="0"/>
                <w:szCs w:val="21"/>
              </w:rPr>
            </w:pPr>
          </w:p>
          <w:p>
            <w:pPr>
              <w:widowControl/>
              <w:spacing w:line="240" w:lineRule="exact"/>
              <w:jc w:val="center"/>
              <w:rPr>
                <w:rFonts w:ascii="仿宋" w:hAnsi="仿宋" w:eastAsia="仿宋" w:cs="仿宋"/>
                <w:color w:val="000000"/>
                <w:kern w:val="0"/>
                <w:szCs w:val="21"/>
              </w:rPr>
            </w:pPr>
          </w:p>
        </w:tc>
        <w:tc>
          <w:tcPr>
            <w:tcW w:w="1361"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社会效益</w:t>
            </w:r>
          </w:p>
        </w:tc>
        <w:tc>
          <w:tcPr>
            <w:tcW w:w="59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20</w:t>
            </w: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该项目执行带来的社会效益产值</w:t>
            </w:r>
          </w:p>
        </w:tc>
        <w:tc>
          <w:tcPr>
            <w:tcW w:w="141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20</w:t>
            </w:r>
          </w:p>
        </w:tc>
        <w:tc>
          <w:tcPr>
            <w:tcW w:w="198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满意度</w:t>
            </w:r>
          </w:p>
        </w:tc>
        <w:tc>
          <w:tcPr>
            <w:tcW w:w="59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10</w:t>
            </w: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社区工作者满意度</w:t>
            </w:r>
          </w:p>
        </w:tc>
        <w:tc>
          <w:tcPr>
            <w:tcW w:w="141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10</w:t>
            </w:r>
          </w:p>
        </w:tc>
        <w:tc>
          <w:tcPr>
            <w:tcW w:w="198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6341" w:type="dxa"/>
            <w:gridSpan w:val="4"/>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总分（100分）</w:t>
            </w:r>
          </w:p>
        </w:tc>
        <w:tc>
          <w:tcPr>
            <w:tcW w:w="1418" w:type="dxa"/>
            <w:shd w:val="clear" w:color="auto" w:fill="FFFFFF"/>
            <w:vAlign w:val="center"/>
          </w:tcPr>
          <w:p>
            <w:pPr>
              <w:widowControl/>
              <w:spacing w:line="240" w:lineRule="exact"/>
              <w:jc w:val="center"/>
              <w:rPr>
                <w:rFonts w:ascii="仿宋" w:hAnsi="仿宋" w:eastAsia="仿宋" w:cs="仿宋"/>
                <w:color w:val="000000"/>
                <w:kern w:val="0"/>
                <w:szCs w:val="21"/>
              </w:rPr>
            </w:pPr>
          </w:p>
        </w:tc>
        <w:tc>
          <w:tcPr>
            <w:tcW w:w="198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9</w:t>
            </w:r>
            <w:r>
              <w:rPr>
                <w:rFonts w:ascii="仿宋" w:hAnsi="仿宋" w:eastAsia="仿宋" w:cs="仿宋"/>
                <w:color w:val="000000"/>
                <w:kern w:val="0"/>
                <w:szCs w:val="21"/>
              </w:rPr>
              <w:t>3</w:t>
            </w:r>
          </w:p>
        </w:tc>
      </w:tr>
    </w:tbl>
    <w:p>
      <w:pPr>
        <w:widowControl/>
        <w:jc w:val="left"/>
        <w:rPr>
          <w:rFonts w:ascii="华文仿宋" w:hAnsi="华文仿宋" w:eastAsia="华文仿宋" w:cs="华文仿宋"/>
          <w:b/>
          <w:bCs/>
          <w:color w:val="000000"/>
          <w:kern w:val="0"/>
          <w:sz w:val="28"/>
          <w:szCs w:val="28"/>
          <w:lang w:bidi="ar"/>
        </w:rPr>
      </w:pPr>
      <w:r>
        <w:rPr>
          <w:rFonts w:hint="eastAsia" w:ascii="华文仿宋" w:hAnsi="华文仿宋" w:eastAsia="华文仿宋" w:cs="华文仿宋"/>
          <w:b/>
          <w:bCs/>
          <w:color w:val="000000"/>
          <w:kern w:val="0"/>
          <w:sz w:val="28"/>
          <w:szCs w:val="28"/>
          <w:lang w:bidi="ar"/>
        </w:rPr>
        <w:t>（二）评价结论</w:t>
      </w:r>
    </w:p>
    <w:p>
      <w:pPr>
        <w:widowControl/>
        <w:ind w:firstLine="560" w:firstLineChars="200"/>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项目立项程序充分合理，绩效目标设置合理可行。项目管理情况总体良好，资金投入充分，相关程序合规，组织实施运行顺畅。</w:t>
      </w:r>
    </w:p>
    <w:p>
      <w:pPr>
        <w:widowControl/>
        <w:jc w:val="left"/>
      </w:pPr>
    </w:p>
    <w:p>
      <w:pPr>
        <w:spacing w:line="580" w:lineRule="exact"/>
        <w:jc w:val="lef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四、绩效评价指标分析</w:t>
      </w:r>
    </w:p>
    <w:p>
      <w:pPr>
        <w:widowControl/>
        <w:jc w:val="left"/>
        <w:rPr>
          <w:rFonts w:ascii="华文仿宋" w:hAnsi="华文仿宋" w:eastAsia="华文仿宋" w:cs="华文仿宋"/>
          <w:b/>
          <w:bCs/>
          <w:color w:val="000000"/>
          <w:kern w:val="0"/>
          <w:sz w:val="28"/>
          <w:szCs w:val="28"/>
          <w:lang w:bidi="ar"/>
        </w:rPr>
      </w:pPr>
      <w:r>
        <w:rPr>
          <w:rFonts w:hint="eastAsia" w:ascii="华文仿宋" w:hAnsi="华文仿宋" w:eastAsia="华文仿宋" w:cs="华文仿宋"/>
          <w:b/>
          <w:bCs/>
          <w:color w:val="000000"/>
          <w:kern w:val="0"/>
          <w:sz w:val="28"/>
          <w:szCs w:val="28"/>
          <w:lang w:bidi="ar"/>
        </w:rPr>
        <w:t>（一）项目决策情况</w:t>
      </w:r>
    </w:p>
    <w:p>
      <w:pPr>
        <w:widowControl/>
        <w:ind w:firstLine="562" w:firstLineChars="200"/>
        <w:jc w:val="left"/>
        <w:rPr>
          <w:rFonts w:ascii="华文仿宋" w:hAnsi="华文仿宋" w:eastAsia="华文仿宋" w:cs="华文仿宋"/>
          <w:b/>
          <w:bCs/>
          <w:color w:val="000000"/>
          <w:kern w:val="0"/>
          <w:sz w:val="28"/>
          <w:szCs w:val="28"/>
          <w:lang w:bidi="ar"/>
        </w:rPr>
      </w:pPr>
      <w:r>
        <w:rPr>
          <w:rFonts w:hint="eastAsia" w:ascii="华文仿宋" w:hAnsi="华文仿宋" w:eastAsia="华文仿宋" w:cs="华文仿宋"/>
          <w:b/>
          <w:bCs/>
          <w:color w:val="000000"/>
          <w:kern w:val="0"/>
          <w:sz w:val="28"/>
          <w:szCs w:val="28"/>
          <w:lang w:bidi="ar"/>
        </w:rPr>
        <w:t>1、项目立项</w:t>
      </w:r>
    </w:p>
    <w:p>
      <w:pPr>
        <w:widowControl/>
        <w:ind w:firstLine="560" w:firstLineChars="200"/>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为了加强红谷滩区民政局项目预算管理，提升预算科学化、精细化管理水平，提高项目资金使用效益，根据《</w:t>
      </w:r>
      <w:r>
        <w:rPr>
          <w:rFonts w:hint="eastAsia" w:ascii="华文仿宋" w:hAnsi="华文仿宋" w:eastAsia="华文仿宋" w:cs="华文仿宋"/>
          <w:color w:val="000000"/>
          <w:kern w:val="0"/>
          <w:sz w:val="28"/>
          <w:szCs w:val="28"/>
          <w:lang w:val="en-US" w:eastAsia="zh-CN" w:bidi="ar"/>
        </w:rPr>
        <w:t>中华人民共和国</w:t>
      </w:r>
      <w:r>
        <w:rPr>
          <w:rFonts w:hint="eastAsia" w:ascii="华文仿宋" w:hAnsi="华文仿宋" w:eastAsia="华文仿宋" w:cs="华文仿宋"/>
          <w:color w:val="000000"/>
          <w:kern w:val="0"/>
          <w:sz w:val="28"/>
          <w:szCs w:val="28"/>
          <w:lang w:bidi="ar"/>
        </w:rPr>
        <w:t xml:space="preserve">预算法》和红谷滩区财政局相关规定，评审中心承担了项目评审工作，项目立项依据充分、合规，故立项依据充分性、规范性指标得满分。 </w:t>
      </w:r>
    </w:p>
    <w:p>
      <w:pPr>
        <w:widowControl/>
        <w:ind w:firstLine="562" w:firstLineChars="200"/>
        <w:jc w:val="left"/>
        <w:rPr>
          <w:rFonts w:ascii="华文仿宋" w:hAnsi="华文仿宋" w:eastAsia="华文仿宋" w:cs="华文仿宋"/>
          <w:b/>
          <w:bCs/>
          <w:color w:val="000000"/>
          <w:kern w:val="0"/>
          <w:sz w:val="28"/>
          <w:szCs w:val="28"/>
          <w:lang w:bidi="ar"/>
        </w:rPr>
      </w:pPr>
      <w:r>
        <w:rPr>
          <w:rFonts w:hint="eastAsia" w:ascii="华文仿宋" w:hAnsi="华文仿宋" w:eastAsia="华文仿宋" w:cs="华文仿宋"/>
          <w:b/>
          <w:bCs/>
          <w:color w:val="000000"/>
          <w:kern w:val="0"/>
          <w:sz w:val="28"/>
          <w:szCs w:val="28"/>
          <w:lang w:bidi="ar"/>
        </w:rPr>
        <w:t>2、绩效目标</w:t>
      </w:r>
    </w:p>
    <w:p>
      <w:pPr>
        <w:widowControl/>
        <w:ind w:firstLine="560" w:firstLineChars="200"/>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经局领导与评审中心专家评估，该项目设定了总体绩效指标，项目绩效目标与实际工作内容具有相关性；项目预</w:t>
      </w:r>
      <w:r>
        <w:rPr>
          <w:rFonts w:hint="eastAsia" w:ascii="华文仿宋" w:hAnsi="华文仿宋" w:eastAsia="华文仿宋" w:cs="华文仿宋"/>
          <w:sz w:val="28"/>
          <w:szCs w:val="28"/>
        </w:rPr>
        <w:t>期产出效益和效果符合正常的业绩水平；与预算确定的项目投资额或资金量相匹配。因此该绩效目标合理、明确，满分。</w:t>
      </w:r>
    </w:p>
    <w:p>
      <w:pPr>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3、资金投入</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经评价，预算编制经过科学论证，与项目内容匹配；预算额度测算能力有待提高；预算确定的项目投资额或资金量与工作任务相匹配，分配合理，该项满分。</w:t>
      </w:r>
    </w:p>
    <w:p>
      <w:pPr>
        <w:spacing w:line="580" w:lineRule="exact"/>
        <w:rPr>
          <w:rFonts w:ascii="华文仿宋" w:hAnsi="华文仿宋" w:eastAsia="华文仿宋" w:cs="华文仿宋"/>
          <w:b/>
          <w:bCs/>
          <w:sz w:val="28"/>
          <w:szCs w:val="28"/>
        </w:rPr>
      </w:pPr>
      <w:r>
        <w:rPr>
          <w:rFonts w:hint="eastAsia" w:ascii="华文仿宋" w:hAnsi="华文仿宋" w:eastAsia="华文仿宋" w:cs="华文仿宋"/>
          <w:b/>
          <w:bCs/>
          <w:sz w:val="28"/>
          <w:szCs w:val="28"/>
        </w:rPr>
        <w:t>（二）项目过程情况</w:t>
      </w:r>
    </w:p>
    <w:p>
      <w:pPr>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1、资金管理</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（1）资金到位率</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该项目预算资金</w:t>
      </w:r>
      <w:r>
        <w:rPr>
          <w:rFonts w:ascii="华文仿宋" w:hAnsi="华文仿宋" w:eastAsia="华文仿宋" w:cs="华文仿宋"/>
          <w:sz w:val="28"/>
          <w:szCs w:val="28"/>
        </w:rPr>
        <w:t>6918.68</w:t>
      </w:r>
      <w:r>
        <w:rPr>
          <w:rFonts w:hint="eastAsia" w:ascii="华文仿宋" w:hAnsi="华文仿宋" w:eastAsia="华文仿宋" w:cs="华文仿宋"/>
          <w:sz w:val="28"/>
          <w:szCs w:val="28"/>
        </w:rPr>
        <w:t>万元，实际到位资金</w:t>
      </w:r>
      <w:r>
        <w:rPr>
          <w:rFonts w:ascii="华文仿宋" w:hAnsi="华文仿宋" w:eastAsia="华文仿宋" w:cs="华文仿宋"/>
          <w:sz w:val="28"/>
          <w:szCs w:val="28"/>
        </w:rPr>
        <w:t>6918.68</w:t>
      </w:r>
      <w:r>
        <w:rPr>
          <w:rFonts w:hint="eastAsia" w:ascii="华文仿宋" w:hAnsi="华文仿宋" w:eastAsia="华文仿宋" w:cs="华文仿宋"/>
          <w:sz w:val="28"/>
          <w:szCs w:val="28"/>
        </w:rPr>
        <w:t>万元；资金到位率</w:t>
      </w:r>
      <w:r>
        <w:rPr>
          <w:rFonts w:ascii="华文仿宋" w:hAnsi="华文仿宋" w:eastAsia="华文仿宋" w:cs="华文仿宋"/>
          <w:sz w:val="28"/>
          <w:szCs w:val="28"/>
        </w:rPr>
        <w:t>100</w:t>
      </w:r>
      <w:r>
        <w:rPr>
          <w:rFonts w:hint="eastAsia" w:ascii="华文仿宋" w:hAnsi="华文仿宋" w:eastAsia="华文仿宋" w:cs="华文仿宋"/>
          <w:sz w:val="28"/>
          <w:szCs w:val="28"/>
        </w:rPr>
        <w:t>%。依据指标评分标准，该项指标得</w:t>
      </w:r>
      <w:r>
        <w:rPr>
          <w:rFonts w:ascii="华文仿宋" w:hAnsi="华文仿宋" w:eastAsia="华文仿宋" w:cs="华文仿宋"/>
          <w:sz w:val="28"/>
          <w:szCs w:val="28"/>
        </w:rPr>
        <w:t>2</w:t>
      </w:r>
      <w:r>
        <w:rPr>
          <w:rFonts w:hint="eastAsia" w:ascii="华文仿宋" w:hAnsi="华文仿宋" w:eastAsia="华文仿宋" w:cs="华文仿宋"/>
          <w:sz w:val="28"/>
          <w:szCs w:val="28"/>
        </w:rPr>
        <w:t>分。</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（2）预算执行率</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2022年度该项目实际支出</w:t>
      </w:r>
      <w:r>
        <w:rPr>
          <w:rFonts w:ascii="华文仿宋" w:hAnsi="华文仿宋" w:eastAsia="华文仿宋" w:cs="华文仿宋"/>
          <w:sz w:val="28"/>
          <w:szCs w:val="28"/>
        </w:rPr>
        <w:t>2713.77</w:t>
      </w:r>
      <w:r>
        <w:rPr>
          <w:rFonts w:hint="eastAsia" w:ascii="华文仿宋" w:hAnsi="华文仿宋" w:eastAsia="华文仿宋" w:cs="华文仿宋"/>
          <w:sz w:val="28"/>
          <w:szCs w:val="28"/>
        </w:rPr>
        <w:t>万元，预算执行率为</w:t>
      </w:r>
      <w:r>
        <w:rPr>
          <w:rFonts w:ascii="华文仿宋" w:hAnsi="华文仿宋" w:eastAsia="华文仿宋" w:cs="华文仿宋"/>
          <w:sz w:val="28"/>
          <w:szCs w:val="28"/>
        </w:rPr>
        <w:t>39</w:t>
      </w:r>
      <w:r>
        <w:rPr>
          <w:rFonts w:hint="eastAsia" w:ascii="华文仿宋" w:hAnsi="华文仿宋" w:eastAsia="华文仿宋" w:cs="华文仿宋"/>
          <w:sz w:val="28"/>
          <w:szCs w:val="28"/>
        </w:rPr>
        <w:t>%，实际预算执行未产生偏差，全部完成，其原因是2</w:t>
      </w:r>
      <w:r>
        <w:rPr>
          <w:rFonts w:ascii="华文仿宋" w:hAnsi="华文仿宋" w:eastAsia="华文仿宋" w:cs="华文仿宋"/>
          <w:sz w:val="28"/>
          <w:szCs w:val="28"/>
        </w:rPr>
        <w:t>022</w:t>
      </w:r>
      <w:r>
        <w:rPr>
          <w:rFonts w:hint="eastAsia" w:ascii="华文仿宋" w:hAnsi="华文仿宋" w:eastAsia="华文仿宋" w:cs="华文仿宋"/>
          <w:sz w:val="28"/>
          <w:szCs w:val="28"/>
        </w:rPr>
        <w:t>年社区工作者离职近百人。该项指标得</w:t>
      </w:r>
      <w:r>
        <w:rPr>
          <w:rFonts w:ascii="华文仿宋" w:hAnsi="华文仿宋" w:eastAsia="华文仿宋" w:cs="华文仿宋"/>
          <w:sz w:val="28"/>
          <w:szCs w:val="28"/>
        </w:rPr>
        <w:t>2</w:t>
      </w:r>
      <w:r>
        <w:rPr>
          <w:rFonts w:hint="eastAsia" w:ascii="华文仿宋" w:hAnsi="华文仿宋" w:eastAsia="华文仿宋" w:cs="华文仿宋"/>
          <w:sz w:val="28"/>
          <w:szCs w:val="28"/>
        </w:rPr>
        <w:t>分。</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使用合规性</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经现场核查，未发现截留、挤占、挪用、虚列支出等情况，资金使用合规性较好。依据指标评分标准，该项指标满分。</w:t>
      </w:r>
    </w:p>
    <w:p>
      <w:pPr>
        <w:adjustRightInd w:val="0"/>
        <w:snapToGrid w:val="0"/>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2、组织实施</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按照相关办法，管理制度合法、合规、但制度的健全性不够完整，过程管理相对薄弱，因此该项得5分。</w:t>
      </w:r>
    </w:p>
    <w:p>
      <w:pPr>
        <w:adjustRightInd w:val="0"/>
        <w:snapToGrid w:val="0"/>
        <w:spacing w:line="580" w:lineRule="exact"/>
        <w:rPr>
          <w:rFonts w:ascii="华文仿宋" w:hAnsi="华文仿宋" w:eastAsia="华文仿宋" w:cs="华文仿宋"/>
          <w:b/>
          <w:bCs/>
          <w:sz w:val="28"/>
          <w:szCs w:val="28"/>
        </w:rPr>
      </w:pPr>
      <w:r>
        <w:rPr>
          <w:rFonts w:hint="eastAsia" w:ascii="华文仿宋" w:hAnsi="华文仿宋" w:eastAsia="华文仿宋" w:cs="华文仿宋"/>
          <w:b/>
          <w:bCs/>
          <w:sz w:val="28"/>
          <w:szCs w:val="28"/>
        </w:rPr>
        <w:t>（三）项目产出情况</w:t>
      </w:r>
    </w:p>
    <w:p>
      <w:pPr>
        <w:adjustRightInd w:val="0"/>
        <w:snapToGrid w:val="0"/>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1、产出数量</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按实际人数8</w:t>
      </w:r>
      <w:r>
        <w:rPr>
          <w:rFonts w:ascii="华文仿宋" w:hAnsi="华文仿宋" w:eastAsia="华文仿宋" w:cs="华文仿宋"/>
          <w:sz w:val="28"/>
          <w:szCs w:val="28"/>
        </w:rPr>
        <w:t>42</w:t>
      </w:r>
      <w:r>
        <w:rPr>
          <w:rFonts w:hint="eastAsia" w:ascii="华文仿宋" w:hAnsi="华文仿宋" w:eastAsia="华文仿宋" w:cs="华文仿宋"/>
          <w:sz w:val="28"/>
          <w:szCs w:val="28"/>
        </w:rPr>
        <w:t>人完成全部支出。该项满分。</w:t>
      </w:r>
    </w:p>
    <w:p>
      <w:pPr>
        <w:adjustRightInd w:val="0"/>
        <w:snapToGrid w:val="0"/>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2、产出质量</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社区工作者工作达标率达到要求。该项满分。</w:t>
      </w:r>
    </w:p>
    <w:p>
      <w:pPr>
        <w:adjustRightInd w:val="0"/>
        <w:snapToGrid w:val="0"/>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3、产出时效</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资金拨付能按时完成。该项满分。</w:t>
      </w:r>
    </w:p>
    <w:p>
      <w:pPr>
        <w:adjustRightInd w:val="0"/>
        <w:snapToGrid w:val="0"/>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4、产出成本</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费用实际支出</w:t>
      </w:r>
      <w:r>
        <w:rPr>
          <w:rFonts w:ascii="华文仿宋" w:hAnsi="华文仿宋" w:eastAsia="华文仿宋" w:cs="华文仿宋"/>
          <w:sz w:val="28"/>
          <w:szCs w:val="28"/>
        </w:rPr>
        <w:t>2713.77</w:t>
      </w:r>
      <w:r>
        <w:rPr>
          <w:rFonts w:hint="eastAsia" w:ascii="华文仿宋" w:hAnsi="华文仿宋" w:eastAsia="华文仿宋" w:cs="华文仿宋"/>
          <w:sz w:val="28"/>
          <w:szCs w:val="28"/>
        </w:rPr>
        <w:t>万元，按年初预算未全额完成，该项指标评分</w:t>
      </w:r>
      <w:r>
        <w:rPr>
          <w:rFonts w:ascii="华文仿宋" w:hAnsi="华文仿宋" w:eastAsia="华文仿宋" w:cs="华文仿宋"/>
          <w:sz w:val="28"/>
          <w:szCs w:val="28"/>
        </w:rPr>
        <w:t>2</w:t>
      </w:r>
      <w:r>
        <w:rPr>
          <w:rFonts w:hint="eastAsia" w:ascii="华文仿宋" w:hAnsi="华文仿宋" w:eastAsia="华文仿宋" w:cs="华文仿宋"/>
          <w:sz w:val="28"/>
          <w:szCs w:val="28"/>
        </w:rPr>
        <w:t>分（总分5分）</w:t>
      </w:r>
    </w:p>
    <w:p>
      <w:pPr>
        <w:widowControl/>
        <w:jc w:val="left"/>
        <w:rPr>
          <w:rFonts w:ascii="华文仿宋" w:hAnsi="华文仿宋" w:eastAsia="华文仿宋" w:cs="华文仿宋"/>
          <w:b/>
          <w:bCs/>
          <w:color w:val="000000"/>
          <w:kern w:val="0"/>
          <w:sz w:val="28"/>
          <w:szCs w:val="28"/>
          <w:lang w:bidi="ar"/>
        </w:rPr>
      </w:pPr>
      <w:r>
        <w:rPr>
          <w:rFonts w:hint="eastAsia" w:ascii="华文仿宋" w:hAnsi="华文仿宋" w:eastAsia="华文仿宋" w:cs="华文仿宋"/>
          <w:b/>
          <w:bCs/>
          <w:color w:val="000000"/>
          <w:kern w:val="0"/>
          <w:sz w:val="28"/>
          <w:szCs w:val="28"/>
          <w:lang w:bidi="ar"/>
        </w:rPr>
        <w:t>（四）项目效益情况</w:t>
      </w:r>
    </w:p>
    <w:p>
      <w:pPr>
        <w:adjustRightInd w:val="0"/>
        <w:snapToGrid w:val="0"/>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1、效益情况</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社区工作者的工作产出，社会服务水平提升。该项满分。</w:t>
      </w:r>
    </w:p>
    <w:p>
      <w:pPr>
        <w:adjustRightInd w:val="0"/>
        <w:snapToGrid w:val="0"/>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2、满意度情况</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社区工作者满意度&gt;</w:t>
      </w:r>
      <w:r>
        <w:rPr>
          <w:rFonts w:ascii="华文仿宋" w:hAnsi="华文仿宋" w:eastAsia="华文仿宋" w:cs="华文仿宋"/>
          <w:sz w:val="28"/>
          <w:szCs w:val="28"/>
        </w:rPr>
        <w:t>=</w:t>
      </w:r>
      <w:r>
        <w:rPr>
          <w:rFonts w:hint="eastAsia" w:ascii="华文仿宋" w:hAnsi="华文仿宋" w:eastAsia="华文仿宋" w:cs="华文仿宋"/>
          <w:sz w:val="28"/>
          <w:szCs w:val="28"/>
        </w:rPr>
        <w:t>95%。依据指标评分标准，该项指标得满分。</w:t>
      </w:r>
    </w:p>
    <w:p/>
    <w:p>
      <w:pPr>
        <w:jc w:val="left"/>
        <w:rPr>
          <w:rFonts w:ascii="仿宋" w:hAnsi="仿宋" w:eastAsia="仿宋" w:cs="仿宋_GB2312"/>
          <w:b/>
          <w:bCs/>
          <w:sz w:val="32"/>
          <w:szCs w:val="40"/>
        </w:rPr>
      </w:pPr>
      <w:r>
        <w:rPr>
          <w:rFonts w:hint="eastAsia" w:ascii="仿宋" w:hAnsi="仿宋" w:eastAsia="仿宋" w:cs="仿宋_GB2312"/>
          <w:b/>
          <w:bCs/>
          <w:sz w:val="32"/>
          <w:szCs w:val="40"/>
        </w:rPr>
        <w:t>五、主要经验及做法、存在的问题及原因分析</w:t>
      </w:r>
    </w:p>
    <w:p>
      <w:pPr>
        <w:adjustRightInd w:val="0"/>
        <w:snapToGrid w:val="0"/>
        <w:spacing w:line="580" w:lineRule="exact"/>
        <w:rPr>
          <w:rFonts w:ascii="华文仿宋" w:hAnsi="华文仿宋" w:eastAsia="华文仿宋" w:cs="华文仿宋"/>
          <w:b/>
          <w:bCs/>
          <w:sz w:val="28"/>
          <w:szCs w:val="28"/>
        </w:rPr>
      </w:pPr>
      <w:r>
        <w:rPr>
          <w:rFonts w:hint="eastAsia" w:ascii="华文仿宋" w:hAnsi="华文仿宋" w:eastAsia="华文仿宋" w:cs="华文仿宋"/>
          <w:b/>
          <w:bCs/>
          <w:sz w:val="28"/>
          <w:szCs w:val="28"/>
        </w:rPr>
        <w:t>（一）主要经验做法</w:t>
      </w:r>
    </w:p>
    <w:p>
      <w:pPr>
        <w:adjustRightInd w:val="0"/>
        <w:snapToGrid w:val="0"/>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1、健全体系，完善机制，强化考核管理。</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健全评审管理体系，强化绩效评价引导，提升项目资金效益。将评价结果与项目经费挂钩，并将其作为全年目标评价结果的重要依据，有效推进项目工作开展。</w:t>
      </w:r>
    </w:p>
    <w:p>
      <w:pPr>
        <w:adjustRightInd w:val="0"/>
        <w:snapToGrid w:val="0"/>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2、坚持业务指导，强化技术支撑。</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将继续以扩大覆盖面、提高服务水平为出发点，分层分级、层层开展项目培训，强化评审中心的技术支撑。</w:t>
      </w:r>
    </w:p>
    <w:p>
      <w:pPr>
        <w:adjustRightInd w:val="0"/>
        <w:snapToGrid w:val="0"/>
        <w:spacing w:line="580" w:lineRule="exact"/>
        <w:rPr>
          <w:rFonts w:ascii="华文仿宋" w:hAnsi="华文仿宋" w:eastAsia="华文仿宋" w:cs="华文仿宋"/>
          <w:b/>
          <w:bCs/>
          <w:sz w:val="28"/>
          <w:szCs w:val="28"/>
        </w:rPr>
      </w:pPr>
      <w:r>
        <w:rPr>
          <w:rFonts w:hint="eastAsia" w:ascii="华文仿宋" w:hAnsi="华文仿宋" w:eastAsia="华文仿宋" w:cs="华文仿宋"/>
          <w:sz w:val="28"/>
          <w:szCs w:val="28"/>
        </w:rPr>
        <w:t>（</w:t>
      </w:r>
      <w:r>
        <w:rPr>
          <w:rFonts w:hint="eastAsia" w:ascii="华文仿宋" w:hAnsi="华文仿宋" w:eastAsia="华文仿宋" w:cs="华文仿宋"/>
          <w:b/>
          <w:bCs/>
          <w:sz w:val="28"/>
          <w:szCs w:val="28"/>
        </w:rPr>
        <w:t>二）存在的问题及原因分析</w:t>
      </w:r>
    </w:p>
    <w:p>
      <w:pPr>
        <w:adjustRightInd w:val="0"/>
        <w:snapToGrid w:val="0"/>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1、管理薄弱、目标跟踪不及时</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项目评审过程管理相对薄弱，评价机制落实不到位。另受2</w:t>
      </w:r>
      <w:r>
        <w:rPr>
          <w:rFonts w:ascii="华文仿宋" w:hAnsi="华文仿宋" w:eastAsia="华文仿宋" w:cs="华文仿宋"/>
          <w:sz w:val="28"/>
          <w:szCs w:val="28"/>
        </w:rPr>
        <w:t>022</w:t>
      </w:r>
      <w:r>
        <w:rPr>
          <w:rFonts w:hint="eastAsia" w:ascii="华文仿宋" w:hAnsi="华文仿宋" w:eastAsia="华文仿宋" w:cs="华文仿宋"/>
          <w:sz w:val="28"/>
          <w:szCs w:val="28"/>
        </w:rPr>
        <w:t>年南昌疫情影响，部分项目费用支出发生滞后，督导力度不够强，导致影响项目的正常建设运行。</w:t>
      </w:r>
    </w:p>
    <w:p/>
    <w:p>
      <w:pPr>
        <w:jc w:val="left"/>
        <w:rPr>
          <w:rFonts w:ascii="仿宋" w:hAnsi="仿宋" w:eastAsia="仿宋" w:cs="仿宋_GB2312"/>
          <w:b/>
          <w:bCs/>
          <w:sz w:val="32"/>
          <w:szCs w:val="40"/>
        </w:rPr>
      </w:pPr>
      <w:r>
        <w:rPr>
          <w:rFonts w:hint="eastAsia" w:ascii="仿宋" w:hAnsi="仿宋" w:eastAsia="仿宋" w:cs="仿宋_GB2312"/>
          <w:b/>
          <w:bCs/>
          <w:sz w:val="32"/>
          <w:szCs w:val="40"/>
        </w:rPr>
        <w:t>六、有关建议</w:t>
      </w:r>
    </w:p>
    <w:p>
      <w:pPr>
        <w:adjustRightInd w:val="0"/>
        <w:snapToGrid w:val="0"/>
        <w:spacing w:line="580" w:lineRule="exact"/>
        <w:rPr>
          <w:rFonts w:ascii="华文仿宋" w:hAnsi="华文仿宋" w:eastAsia="华文仿宋" w:cs="华文仿宋"/>
          <w:b/>
          <w:bCs/>
          <w:sz w:val="28"/>
          <w:szCs w:val="28"/>
        </w:rPr>
      </w:pPr>
      <w:r>
        <w:rPr>
          <w:rFonts w:hint="eastAsia" w:ascii="华文仿宋" w:hAnsi="华文仿宋" w:eastAsia="华文仿宋" w:cs="华文仿宋"/>
          <w:b/>
          <w:bCs/>
          <w:sz w:val="28"/>
          <w:szCs w:val="28"/>
        </w:rPr>
        <w:t>（一）提升绩效管理意识，加强绩效业务学习</w:t>
      </w:r>
    </w:p>
    <w:p>
      <w:pPr>
        <w:pStyle w:val="4"/>
        <w:ind w:firstLine="560" w:firstLineChars="200"/>
        <w:rPr>
          <w:rFonts w:ascii="华文仿宋" w:hAnsi="华文仿宋" w:eastAsia="华文仿宋" w:cs="华文仿宋"/>
        </w:rPr>
      </w:pPr>
      <w:r>
        <w:rPr>
          <w:rFonts w:hint="eastAsia" w:ascii="华文仿宋" w:hAnsi="华文仿宋" w:eastAsia="华文仿宋" w:cs="华文仿宋"/>
        </w:rPr>
        <w:t>2023年，我们将加强财政绩效管理系统的学习，牢固树立绩效目标意识，保持目标和实际工作的一致性，目标申报要根据实际情况进行，要科学、合理、高效、专业的设置工作绩效目标。通过将目标分解细化，能够较好明确各项工作任务，以及应当达到的实施标准，指导项目实施方向。</w:t>
      </w:r>
    </w:p>
    <w:p>
      <w:pPr>
        <w:adjustRightInd w:val="0"/>
        <w:snapToGrid w:val="0"/>
        <w:spacing w:line="580" w:lineRule="exact"/>
        <w:rPr>
          <w:rFonts w:ascii="华文仿宋" w:hAnsi="华文仿宋" w:eastAsia="华文仿宋" w:cs="华文仿宋"/>
          <w:b/>
          <w:bCs/>
          <w:sz w:val="28"/>
          <w:szCs w:val="28"/>
        </w:rPr>
      </w:pPr>
      <w:r>
        <w:rPr>
          <w:rFonts w:hint="eastAsia" w:ascii="华文仿宋" w:hAnsi="华文仿宋" w:eastAsia="华文仿宋" w:cs="华文仿宋"/>
          <w:b/>
          <w:bCs/>
          <w:sz w:val="28"/>
          <w:szCs w:val="28"/>
        </w:rPr>
        <w:t>（二）强化评价机制，加大督导力度</w:t>
      </w:r>
    </w:p>
    <w:p>
      <w:pPr>
        <w:pStyle w:val="4"/>
        <w:ind w:firstLine="560" w:firstLineChars="200"/>
        <w:rPr>
          <w:rFonts w:ascii="华文仿宋" w:hAnsi="华文仿宋" w:eastAsia="华文仿宋" w:cs="华文仿宋"/>
        </w:rPr>
      </w:pPr>
      <w:r>
        <w:rPr>
          <w:rFonts w:hint="eastAsia" w:ascii="华文仿宋" w:hAnsi="华文仿宋" w:eastAsia="华文仿宋" w:cs="华文仿宋"/>
        </w:rPr>
        <w:t>严格按照我区财政评审管理办法，将各项工作任务指标下沉到各个机构、各个具体责任人，同时加强督导力度，定期开展绩效评价工作，确保定时定量完成。</w:t>
      </w:r>
    </w:p>
    <w:p>
      <w:pPr>
        <w:pStyle w:val="4"/>
        <w:ind w:firstLine="560" w:firstLineChars="200"/>
        <w:rPr>
          <w:rFonts w:ascii="华文仿宋" w:hAnsi="华文仿宋" w:eastAsia="华文仿宋" w:cs="华文仿宋"/>
        </w:rPr>
      </w:pPr>
    </w:p>
    <w:p>
      <w:pPr>
        <w:jc w:val="left"/>
        <w:rPr>
          <w:rFonts w:ascii="仿宋" w:hAnsi="仿宋" w:eastAsia="仿宋" w:cs="仿宋_GB2312"/>
          <w:b/>
          <w:bCs/>
          <w:sz w:val="32"/>
          <w:szCs w:val="40"/>
        </w:rPr>
      </w:pPr>
      <w:r>
        <w:rPr>
          <w:rFonts w:hint="eastAsia" w:ascii="仿宋" w:hAnsi="仿宋" w:eastAsia="仿宋" w:cs="仿宋_GB2312"/>
          <w:b/>
          <w:bCs/>
          <w:sz w:val="32"/>
          <w:szCs w:val="40"/>
        </w:rPr>
        <w:t>七、其他需要说明的问题</w:t>
      </w:r>
    </w:p>
    <w:p>
      <w:pPr>
        <w:ind w:firstLine="420"/>
        <w:jc w:val="left"/>
        <w:rPr>
          <w:rFonts w:ascii="仿宋" w:hAnsi="仿宋" w:eastAsia="仿宋" w:cs="仿宋_GB2312"/>
          <w:sz w:val="28"/>
          <w:szCs w:val="28"/>
        </w:rPr>
      </w:pPr>
      <w:r>
        <w:rPr>
          <w:rFonts w:hint="eastAsia" w:ascii="仿宋" w:hAnsi="仿宋" w:eastAsia="仿宋" w:cs="仿宋_GB2312"/>
          <w:sz w:val="28"/>
          <w:szCs w:val="28"/>
        </w:rPr>
        <w:t>无</w:t>
      </w:r>
    </w:p>
    <w:p>
      <w:pPr>
        <w:pStyle w:val="2"/>
        <w:rPr>
          <w:rFonts w:hint="default" w:ascii="仿宋" w:hAnsi="仿宋" w:eastAsia="仿宋" w:cs="仿宋_GB2312"/>
          <w:sz w:val="28"/>
          <w:szCs w:val="28"/>
        </w:rPr>
      </w:pPr>
    </w:p>
    <w:p/>
    <w:p>
      <w:pPr>
        <w:pStyle w:val="5"/>
        <w:rPr>
          <w:rFonts w:ascii="仿宋" w:hAnsi="仿宋" w:eastAsia="仿宋" w:cs="仿宋"/>
          <w:sz w:val="28"/>
          <w:szCs w:val="28"/>
        </w:rPr>
      </w:pPr>
      <w:r>
        <w:rPr>
          <w:rFonts w:hint="eastAsia"/>
        </w:rPr>
        <w:t xml:space="preserve">                    </w:t>
      </w:r>
      <w:r>
        <w:t xml:space="preserve"> </w:t>
      </w:r>
      <w:r>
        <w:tab/>
      </w:r>
      <w:r>
        <w:tab/>
      </w:r>
      <w:r>
        <w:tab/>
      </w:r>
      <w:r>
        <w:tab/>
      </w:r>
      <w:r>
        <w:tab/>
      </w:r>
      <w:r>
        <w:tab/>
      </w:r>
      <w:r>
        <w:tab/>
      </w:r>
      <w:r>
        <w:tab/>
      </w:r>
      <w:r>
        <w:tab/>
      </w:r>
      <w:r>
        <w:rPr>
          <w:rFonts w:hint="eastAsia"/>
        </w:rPr>
        <w:t xml:space="preserve">   </w:t>
      </w:r>
      <w:r>
        <w:rPr>
          <w:rFonts w:hint="eastAsia" w:ascii="仿宋" w:hAnsi="仿宋" w:eastAsia="仿宋" w:cs="仿宋"/>
          <w:color w:val="000000"/>
          <w:sz w:val="28"/>
          <w:szCs w:val="28"/>
        </w:rPr>
        <w:t>红谷滩民政局</w:t>
      </w:r>
    </w:p>
    <w:p>
      <w:pPr>
        <w:pStyle w:val="5"/>
        <w:ind w:left="280" w:firstLine="5600" w:firstLineChars="2000"/>
        <w:rPr>
          <w:rFonts w:ascii="仿宋" w:hAnsi="仿宋" w:eastAsia="仿宋" w:cs="仿宋"/>
          <w:sz w:val="28"/>
          <w:szCs w:val="28"/>
        </w:rPr>
      </w:pPr>
      <w:r>
        <w:rPr>
          <w:rFonts w:hint="eastAsia" w:ascii="仿宋" w:hAnsi="仿宋" w:eastAsia="仿宋" w:cs="仿宋"/>
          <w:sz w:val="28"/>
          <w:szCs w:val="28"/>
        </w:rPr>
        <w:t>2023年3月10日</w:t>
      </w:r>
    </w:p>
    <w:p>
      <w:pPr>
        <w:adjustRightInd w:val="0"/>
        <w:snapToGrid w:val="0"/>
        <w:spacing w:line="580" w:lineRule="exact"/>
        <w:rPr>
          <w:rFonts w:ascii="华文仿宋" w:hAnsi="华文仿宋" w:eastAsia="华文仿宋" w:cs="华文仿宋"/>
          <w:sz w:val="28"/>
          <w:szCs w:val="28"/>
        </w:rPr>
      </w:pPr>
    </w:p>
    <w:p>
      <w:pPr>
        <w:adjustRightInd w:val="0"/>
        <w:snapToGrid w:val="0"/>
        <w:spacing w:line="580" w:lineRule="exact"/>
        <w:ind w:firstLine="5320" w:firstLineChars="1900"/>
        <w:rPr>
          <w:rFonts w:ascii="华文仿宋" w:hAnsi="华文仿宋" w:eastAsia="华文仿宋" w:cs="华文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DejaVu Sans">
    <w:altName w:val="Times New Roman"/>
    <w:panose1 w:val="00000000000000000000"/>
    <w:charset w:val="00"/>
    <w:family w:val="roman"/>
    <w:pitch w:val="default"/>
    <w:sig w:usb0="00000000" w:usb1="00000000" w:usb2="00000008" w:usb3="00000000" w:csb0="000001FF"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华文中宋">
    <w:altName w:val="宋体"/>
    <w:panose1 w:val="02010600040101010101"/>
    <w:charset w:val="86"/>
    <w:family w:val="auto"/>
    <w:pitch w:val="default"/>
    <w:sig w:usb0="00000000" w:usb1="00000000" w:usb2="00000010" w:usb3="00000000" w:csb0="0004009F" w:csb1="00000000"/>
  </w:font>
  <w:font w:name="华文仿宋">
    <w:altName w:val="仿宋"/>
    <w:panose1 w:val="02010600040101010101"/>
    <w:charset w:val="86"/>
    <w:family w:val="auto"/>
    <w:pitch w:val="default"/>
    <w:sig w:usb0="00000000" w:usb1="00000000" w:usb2="00000010" w:usb3="00000000" w:csb0="0004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21EFC"/>
    <w:multiLevelType w:val="singleLevel"/>
    <w:tmpl w:val="A1821EFC"/>
    <w:lvl w:ilvl="0" w:tentative="0">
      <w:start w:val="2"/>
      <w:numFmt w:val="decimal"/>
      <w:suff w:val="nothing"/>
      <w:lvlText w:val="%1、"/>
      <w:lvlJc w:val="left"/>
      <w:pPr>
        <w:ind w:left="-220"/>
      </w:pPr>
    </w:lvl>
  </w:abstractNum>
  <w:abstractNum w:abstractNumId="1">
    <w:nsid w:val="A3A3D0FE"/>
    <w:multiLevelType w:val="singleLevel"/>
    <w:tmpl w:val="A3A3D0FE"/>
    <w:lvl w:ilvl="0" w:tentative="0">
      <w:start w:val="1"/>
      <w:numFmt w:val="chineseCounting"/>
      <w:suff w:val="nothing"/>
      <w:lvlText w:val="（%1）"/>
      <w:lvlJc w:val="left"/>
      <w:pPr>
        <w:ind w:left="-420" w:firstLine="420"/>
      </w:pPr>
      <w:rPr>
        <w:rFonts w:hint="eastAsia"/>
      </w:rPr>
    </w:lvl>
  </w:abstractNum>
  <w:abstractNum w:abstractNumId="2">
    <w:nsid w:val="33AE032E"/>
    <w:multiLevelType w:val="singleLevel"/>
    <w:tmpl w:val="33AE032E"/>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UwMTU2MmNkOTQyYjc3MmMxODMzZTdjNWYzMGQzYjcifQ=="/>
  </w:docVars>
  <w:rsids>
    <w:rsidRoot w:val="008C390E"/>
    <w:rsid w:val="000A74D3"/>
    <w:rsid w:val="002131DC"/>
    <w:rsid w:val="00216D6E"/>
    <w:rsid w:val="00292D39"/>
    <w:rsid w:val="00350E3B"/>
    <w:rsid w:val="00706A0C"/>
    <w:rsid w:val="00772B65"/>
    <w:rsid w:val="007E1117"/>
    <w:rsid w:val="008C390E"/>
    <w:rsid w:val="009058F5"/>
    <w:rsid w:val="00A12783"/>
    <w:rsid w:val="00AE50A6"/>
    <w:rsid w:val="00B55627"/>
    <w:rsid w:val="00CE4D39"/>
    <w:rsid w:val="00E17D66"/>
    <w:rsid w:val="00E60D62"/>
    <w:rsid w:val="00EB356B"/>
    <w:rsid w:val="00EC6A06"/>
    <w:rsid w:val="00EF41EF"/>
    <w:rsid w:val="00F036F1"/>
    <w:rsid w:val="00F8177D"/>
    <w:rsid w:val="04CA4D62"/>
    <w:rsid w:val="07B56C15"/>
    <w:rsid w:val="17CC48A1"/>
    <w:rsid w:val="26CA6125"/>
    <w:rsid w:val="6B176287"/>
    <w:rsid w:val="7336224A"/>
    <w:rsid w:val="776615B1"/>
    <w:rsid w:val="7EF443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autoRedefine/>
    <w:qFormat/>
    <w:uiPriority w:val="0"/>
    <w:pPr>
      <w:keepNext/>
      <w:keepLines/>
      <w:spacing w:before="100" w:beforeLines="100" w:after="100" w:afterLines="100" w:line="480" w:lineRule="auto"/>
      <w:jc w:val="left"/>
      <w:outlineLvl w:val="1"/>
    </w:pPr>
    <w:rPr>
      <w:rFonts w:ascii="DejaVu Sans" w:hAnsi="DejaVu Sans"/>
      <w:b/>
      <w:kern w:val="0"/>
      <w:sz w:val="32"/>
      <w:szCs w:val="32"/>
    </w:rPr>
  </w:style>
  <w:style w:type="paragraph" w:styleId="2">
    <w:name w:val="heading 3"/>
    <w:basedOn w:val="1"/>
    <w:next w:val="1"/>
    <w:unhideWhenUsed/>
    <w:qFormat/>
    <w:uiPriority w:val="0"/>
    <w:pPr>
      <w:spacing w:before="100" w:beforeAutospacing="1" w:after="100" w:afterAutospacing="1"/>
      <w:jc w:val="left"/>
      <w:outlineLvl w:val="2"/>
    </w:pPr>
    <w:rPr>
      <w:rFonts w:hint="eastAsia" w:ascii="宋体" w:hAnsi="宋体"/>
      <w:b/>
      <w:bCs/>
      <w:kern w:val="0"/>
      <w:sz w:val="27"/>
      <w:szCs w:val="27"/>
    </w:rPr>
  </w:style>
  <w:style w:type="character" w:default="1" w:styleId="8">
    <w:name w:val="Default Paragraph Font"/>
    <w:autoRedefine/>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4">
    <w:name w:val="Body Text"/>
    <w:basedOn w:val="1"/>
    <w:unhideWhenUsed/>
    <w:qFormat/>
    <w:uiPriority w:val="99"/>
    <w:rPr>
      <w:rFonts w:ascii="仿宋" w:hAnsi="仿宋" w:cs="宋体"/>
      <w:sz w:val="28"/>
      <w:szCs w:val="28"/>
    </w:rPr>
  </w:style>
  <w:style w:type="paragraph" w:styleId="5">
    <w:name w:val="Plain Text"/>
    <w:basedOn w:val="1"/>
    <w:link w:val="11"/>
    <w:unhideWhenUsed/>
    <w:uiPriority w:val="99"/>
    <w:rPr>
      <w:rFonts w:hAnsi="Courier New" w:cs="Courier New" w:asciiTheme="minorEastAsia" w:eastAsiaTheme="minorEastAsia"/>
      <w:szCs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Char"/>
    <w:basedOn w:val="1"/>
    <w:uiPriority w:val="0"/>
    <w:pPr>
      <w:widowControl/>
      <w:spacing w:after="160" w:line="240" w:lineRule="exact"/>
      <w:jc w:val="left"/>
    </w:pPr>
    <w:rPr>
      <w:rFonts w:ascii="Verdana" w:hAnsi="Verdana" w:eastAsia="仿宋_GB2312"/>
      <w:kern w:val="0"/>
      <w:sz w:val="24"/>
      <w:lang w:eastAsia="en-US"/>
    </w:rPr>
  </w:style>
  <w:style w:type="paragraph" w:styleId="10">
    <w:name w:val="List Paragraph"/>
    <w:basedOn w:val="1"/>
    <w:uiPriority w:val="99"/>
    <w:pPr>
      <w:ind w:firstLine="420" w:firstLineChars="200"/>
    </w:pPr>
  </w:style>
  <w:style w:type="character" w:customStyle="1" w:styleId="11">
    <w:name w:val="纯文本 字符"/>
    <w:basedOn w:val="8"/>
    <w:link w:val="5"/>
    <w:uiPriority w:val="99"/>
    <w:rPr>
      <w:rFonts w:hAnsi="Courier New" w:cs="Courier New" w:asciiTheme="minorEastAsia" w:eastAsiaTheme="minorEastAsia"/>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0FDAD-7164-4BD6-BE64-53B4A93CE85E}">
  <ds:schemaRefs/>
</ds:datastoreItem>
</file>

<file path=docProps/app.xml><?xml version="1.0" encoding="utf-8"?>
<Properties xmlns="http://schemas.openxmlformats.org/officeDocument/2006/extended-properties" xmlns:vt="http://schemas.openxmlformats.org/officeDocument/2006/docPropsVTypes">
  <Template>Normal</Template>
  <Pages>12</Pages>
  <Words>902</Words>
  <Characters>5142</Characters>
  <Lines>42</Lines>
  <Paragraphs>12</Paragraphs>
  <TotalTime>6</TotalTime>
  <ScaleCrop>false</ScaleCrop>
  <LinksUpToDate>false</LinksUpToDate>
  <CharactersWithSpaces>6032</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2023-03-14T07:54:00Z</dcterms:created>
  <dc:creator>WYL</dc:creator>
  <cp:lastModifiedBy>dollhouse</cp:lastModifiedBy>
  <cp:lastPrinted>2023-03-11T03:05:00Z</cp:lastPrinted>
  <dcterms:modified xsi:type="dcterms:W3CDTF">2024-01-30T03:17:37Z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4201CA4F903D43DD8CC0BAB7925AC5EF_13</vt:lpwstr>
  </property>
</Properties>
</file>