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eastAsia="zh-CN"/>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红谷滩区</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14:textFill>
            <w14:solidFill>
              <w14:schemeClr w14:val="tx1"/>
            </w14:solidFill>
          </w14:textFill>
        </w:rPr>
        <w:t>农村生活污水处理设施运行维护管理</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办法</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eastAsia="zh-CN"/>
          <w14:textFill>
            <w14:solidFill>
              <w14:schemeClr w14:val="tx1"/>
            </w14:solidFill>
          </w14:textFill>
        </w:rPr>
        <w:t>（</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暂行</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eastAsia="zh-CN"/>
          <w14:textFill>
            <w14:solidFill>
              <w14:schemeClr w14:val="tx1"/>
            </w14:solidFill>
          </w14:textFill>
        </w:rPr>
        <w:t>）（</w:t>
      </w: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征求意见稿</w:t>
      </w:r>
      <w:bookmarkStart w:id="0" w:name="_GoBack"/>
      <w:bookmarkEnd w:id="0"/>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第一章</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总则</w:t>
      </w:r>
    </w:p>
    <w:p>
      <w:pPr>
        <w:ind w:firstLine="643" w:firstLineChars="200"/>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rPr>
        <w:t>第一条</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为规范和加强农村生活污水处理设施运行维护管理，保障农村生活污水处理设施的正常运行，根据相关标准规范要求，结合实际，制定本</w:t>
      </w:r>
      <w:r>
        <w:rPr>
          <w:rFonts w:hint="eastAsia" w:ascii="仿宋" w:hAnsi="仿宋" w:eastAsia="仿宋" w:cs="仿宋"/>
          <w:color w:val="auto"/>
          <w:sz w:val="32"/>
          <w:szCs w:val="32"/>
          <w:highlight w:val="none"/>
          <w:lang w:val="en-US" w:eastAsia="zh-CN"/>
        </w:rPr>
        <w:t>办法</w:t>
      </w:r>
      <w:r>
        <w:rPr>
          <w:rFonts w:hint="eastAsia" w:ascii="仿宋" w:hAnsi="仿宋" w:eastAsia="仿宋" w:cs="仿宋"/>
          <w:color w:val="auto"/>
          <w:sz w:val="32"/>
          <w:szCs w:val="32"/>
          <w:highlight w:val="none"/>
          <w:lang w:eastAsia="zh-CN"/>
        </w:rPr>
        <w:t>。</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val="en-US" w:eastAsia="zh-CN"/>
        </w:rPr>
        <w:t>办法</w:t>
      </w:r>
      <w:r>
        <w:rPr>
          <w:rFonts w:hint="eastAsia" w:ascii="仿宋" w:hAnsi="仿宋" w:eastAsia="仿宋" w:cs="仿宋"/>
          <w:color w:val="auto"/>
          <w:sz w:val="32"/>
          <w:szCs w:val="32"/>
          <w:highlight w:val="none"/>
        </w:rPr>
        <w:t>适用于</w:t>
      </w:r>
      <w:r>
        <w:rPr>
          <w:rFonts w:hint="eastAsia" w:ascii="仿宋" w:hAnsi="仿宋" w:eastAsia="仿宋" w:cs="仿宋"/>
          <w:color w:val="auto"/>
          <w:sz w:val="32"/>
          <w:szCs w:val="32"/>
          <w:highlight w:val="none"/>
          <w:lang w:val="en-US" w:eastAsia="zh-CN"/>
        </w:rPr>
        <w:t>红谷滩区</w:t>
      </w:r>
      <w:r>
        <w:rPr>
          <w:rFonts w:hint="eastAsia" w:ascii="仿宋" w:hAnsi="仿宋" w:eastAsia="仿宋" w:cs="仿宋"/>
          <w:color w:val="auto"/>
          <w:sz w:val="32"/>
          <w:szCs w:val="32"/>
          <w:highlight w:val="none"/>
        </w:rPr>
        <w:t>已建成和逐年新建投入运行的</w:t>
      </w:r>
      <w:r>
        <w:rPr>
          <w:rFonts w:hint="eastAsia" w:ascii="仿宋" w:hAnsi="仿宋" w:eastAsia="仿宋" w:cs="仿宋"/>
          <w:color w:val="auto"/>
          <w:sz w:val="32"/>
          <w:szCs w:val="32"/>
          <w:highlight w:val="none"/>
          <w:lang w:val="en-US" w:eastAsia="zh-CN"/>
        </w:rPr>
        <w:t>农村</w:t>
      </w:r>
      <w:r>
        <w:rPr>
          <w:rFonts w:hint="eastAsia" w:ascii="仿宋" w:hAnsi="仿宋" w:eastAsia="仿宋" w:cs="仿宋"/>
          <w:color w:val="auto"/>
          <w:sz w:val="32"/>
          <w:szCs w:val="32"/>
          <w:highlight w:val="none"/>
        </w:rPr>
        <w:t>生活污水处理设施的运行维护管理。</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农村生活污水处理设施按照“各镇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为主、服务外包、部门监管”的原则进行运行维护管理，实现“运维管理规范，设施运行正常，出水达标排放”的目标。</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第二章</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运行维护职责分工</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红谷滩</w:t>
      </w:r>
      <w:r>
        <w:rPr>
          <w:rFonts w:hint="eastAsia" w:ascii="仿宋" w:hAnsi="仿宋" w:eastAsia="仿宋" w:cs="仿宋"/>
          <w:color w:val="auto"/>
          <w:sz w:val="32"/>
          <w:szCs w:val="32"/>
          <w:highlight w:val="none"/>
        </w:rPr>
        <w:t>生态环境局负责</w:t>
      </w:r>
      <w:r>
        <w:rPr>
          <w:rFonts w:hint="eastAsia" w:ascii="仿宋" w:hAnsi="仿宋" w:eastAsia="仿宋" w:cs="仿宋"/>
          <w:color w:val="auto"/>
          <w:sz w:val="32"/>
          <w:szCs w:val="32"/>
          <w:highlight w:val="none"/>
          <w:lang w:val="en-US" w:eastAsia="zh-CN"/>
        </w:rPr>
        <w:t>对</w:t>
      </w:r>
      <w:r>
        <w:rPr>
          <w:rFonts w:hint="eastAsia" w:ascii="仿宋" w:hAnsi="仿宋" w:eastAsia="仿宋" w:cs="仿宋"/>
          <w:color w:val="auto"/>
          <w:sz w:val="32"/>
          <w:szCs w:val="32"/>
          <w:highlight w:val="none"/>
        </w:rPr>
        <w:t>农村生活污水处理设施</w:t>
      </w:r>
      <w:r>
        <w:rPr>
          <w:rFonts w:hint="eastAsia" w:ascii="仿宋" w:hAnsi="仿宋" w:eastAsia="仿宋" w:cs="仿宋"/>
          <w:color w:val="auto"/>
          <w:sz w:val="32"/>
          <w:szCs w:val="32"/>
          <w:highlight w:val="none"/>
          <w:lang w:val="en-US" w:eastAsia="zh-CN"/>
        </w:rPr>
        <w:t>出水质量进行监督监测</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协调</w:t>
      </w:r>
      <w:r>
        <w:rPr>
          <w:rFonts w:hint="eastAsia" w:ascii="仿宋" w:hAnsi="仿宋" w:eastAsia="仿宋" w:cs="仿宋"/>
          <w:color w:val="auto"/>
          <w:sz w:val="32"/>
          <w:szCs w:val="32"/>
          <w:highlight w:val="none"/>
          <w:lang w:eastAsia="zh-CN"/>
        </w:rPr>
        <w:t>区</w:t>
      </w:r>
      <w:r>
        <w:rPr>
          <w:rFonts w:hint="eastAsia" w:ascii="仿宋" w:hAnsi="仿宋" w:eastAsia="仿宋" w:cs="仿宋"/>
          <w:color w:val="auto"/>
          <w:sz w:val="32"/>
          <w:szCs w:val="32"/>
          <w:highlight w:val="none"/>
        </w:rPr>
        <w:t>农业农村</w:t>
      </w:r>
      <w:r>
        <w:rPr>
          <w:rFonts w:hint="eastAsia" w:ascii="仿宋" w:hAnsi="仿宋" w:eastAsia="仿宋" w:cs="仿宋"/>
          <w:color w:val="auto"/>
          <w:sz w:val="32"/>
          <w:szCs w:val="32"/>
          <w:highlight w:val="none"/>
          <w:lang w:val="en-US" w:eastAsia="zh-CN"/>
        </w:rPr>
        <w:t>局</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区</w:t>
      </w:r>
      <w:r>
        <w:rPr>
          <w:rFonts w:hint="eastAsia" w:ascii="仿宋" w:hAnsi="仿宋" w:eastAsia="仿宋" w:cs="仿宋"/>
          <w:color w:val="auto"/>
          <w:sz w:val="32"/>
          <w:szCs w:val="32"/>
          <w:highlight w:val="none"/>
        </w:rPr>
        <w:t>财政</w:t>
      </w:r>
      <w:r>
        <w:rPr>
          <w:rFonts w:hint="eastAsia" w:ascii="仿宋" w:hAnsi="仿宋" w:eastAsia="仿宋" w:cs="仿宋"/>
          <w:color w:val="auto"/>
          <w:sz w:val="32"/>
          <w:szCs w:val="32"/>
          <w:highlight w:val="none"/>
          <w:lang w:val="en-US" w:eastAsia="zh-CN"/>
        </w:rPr>
        <w:t>局</w:t>
      </w:r>
      <w:r>
        <w:rPr>
          <w:rFonts w:hint="eastAsia" w:ascii="仿宋" w:hAnsi="仿宋" w:eastAsia="仿宋" w:cs="仿宋"/>
          <w:color w:val="auto"/>
          <w:sz w:val="32"/>
          <w:szCs w:val="32"/>
          <w:highlight w:val="none"/>
        </w:rPr>
        <w:t>、等部门对运行维护管理工作进行联合考核以及适用本</w:t>
      </w:r>
      <w:r>
        <w:rPr>
          <w:rFonts w:hint="eastAsia" w:ascii="仿宋" w:hAnsi="仿宋" w:eastAsia="仿宋" w:cs="仿宋"/>
          <w:color w:val="auto"/>
          <w:sz w:val="32"/>
          <w:szCs w:val="32"/>
          <w:highlight w:val="none"/>
          <w:lang w:val="en-US" w:eastAsia="zh-CN"/>
        </w:rPr>
        <w:t>办法</w:t>
      </w:r>
      <w:r>
        <w:rPr>
          <w:rFonts w:hint="eastAsia" w:ascii="仿宋" w:hAnsi="仿宋" w:eastAsia="仿宋" w:cs="仿宋"/>
          <w:color w:val="auto"/>
          <w:sz w:val="32"/>
          <w:szCs w:val="32"/>
          <w:highlight w:val="none"/>
        </w:rPr>
        <w:t>的农村生活污水处理设施的动态管理。</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第五条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val="0"/>
          <w:bCs w:val="0"/>
          <w:color w:val="auto"/>
          <w:sz w:val="32"/>
          <w:szCs w:val="32"/>
          <w:highlight w:val="none"/>
          <w:lang w:val="en-US" w:eastAsia="zh-CN"/>
        </w:rPr>
        <w:t>红谷滩区</w:t>
      </w:r>
      <w:r>
        <w:rPr>
          <w:rFonts w:hint="eastAsia" w:ascii="仿宋" w:hAnsi="仿宋" w:eastAsia="仿宋" w:cs="仿宋"/>
          <w:color w:val="auto"/>
          <w:sz w:val="32"/>
          <w:szCs w:val="32"/>
          <w:highlight w:val="none"/>
        </w:rPr>
        <w:t>农业农村</w:t>
      </w:r>
      <w:r>
        <w:rPr>
          <w:rFonts w:hint="eastAsia" w:ascii="仿宋" w:hAnsi="仿宋" w:eastAsia="仿宋" w:cs="仿宋"/>
          <w:color w:val="auto"/>
          <w:sz w:val="32"/>
          <w:szCs w:val="32"/>
          <w:highlight w:val="none"/>
          <w:lang w:val="en-US" w:eastAsia="zh-CN"/>
        </w:rPr>
        <w:t>局</w:t>
      </w:r>
      <w:r>
        <w:rPr>
          <w:rFonts w:hint="eastAsia" w:ascii="仿宋" w:hAnsi="仿宋" w:eastAsia="仿宋" w:cs="仿宋"/>
          <w:color w:val="auto"/>
          <w:sz w:val="32"/>
          <w:szCs w:val="32"/>
          <w:highlight w:val="none"/>
        </w:rPr>
        <w:t>牵头负责农村生活污水处理设施的</w:t>
      </w:r>
      <w:r>
        <w:rPr>
          <w:rFonts w:hint="eastAsia" w:ascii="仿宋" w:hAnsi="仿宋" w:eastAsia="仿宋" w:cs="仿宋"/>
          <w:color w:val="auto"/>
          <w:sz w:val="32"/>
          <w:szCs w:val="32"/>
          <w:highlight w:val="none"/>
          <w:lang w:val="en-US" w:eastAsia="zh-CN"/>
        </w:rPr>
        <w:t>运维管理</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负责</w:t>
      </w:r>
      <w:r>
        <w:rPr>
          <w:rFonts w:hint="eastAsia" w:ascii="仿宋" w:hAnsi="仿宋" w:eastAsia="仿宋" w:cs="仿宋"/>
          <w:color w:val="auto"/>
          <w:sz w:val="32"/>
          <w:szCs w:val="32"/>
          <w:highlight w:val="none"/>
        </w:rPr>
        <w:t>编制运行维护资金年度预算</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配合做好运行维护管理考核工作。</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第六条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红谷滩区</w:t>
      </w:r>
      <w:r>
        <w:rPr>
          <w:rFonts w:hint="eastAsia" w:ascii="仿宋" w:hAnsi="仿宋" w:eastAsia="仿宋" w:cs="仿宋"/>
          <w:color w:val="auto"/>
          <w:sz w:val="32"/>
          <w:szCs w:val="32"/>
          <w:highlight w:val="none"/>
        </w:rPr>
        <w:t>财政</w:t>
      </w:r>
      <w:r>
        <w:rPr>
          <w:rFonts w:hint="eastAsia" w:ascii="仿宋" w:hAnsi="仿宋" w:eastAsia="仿宋" w:cs="仿宋"/>
          <w:color w:val="auto"/>
          <w:sz w:val="32"/>
          <w:szCs w:val="32"/>
          <w:highlight w:val="none"/>
          <w:lang w:val="en-US" w:eastAsia="zh-CN"/>
        </w:rPr>
        <w:t>局</w:t>
      </w:r>
      <w:r>
        <w:rPr>
          <w:rFonts w:hint="eastAsia" w:ascii="仿宋" w:hAnsi="仿宋" w:eastAsia="仿宋" w:cs="仿宋"/>
          <w:color w:val="auto"/>
          <w:sz w:val="32"/>
          <w:szCs w:val="32"/>
          <w:highlight w:val="none"/>
        </w:rPr>
        <w:t>牵头负责农村生活污水处理设施运维资金的安排和拨付。</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第七条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作为业主单位，负责依法依规确立农村生活污水处理设施第三方专业运维单位，依据考核综合成绩核定第三方运维服务费。</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第八条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负责督促本区域内农村生活污水处理设施的日常管理和收集管网、污水处理主体设施维修工作，明确管理科室和落实管理人员;结合实际情况对适用本</w:t>
      </w:r>
      <w:r>
        <w:rPr>
          <w:rFonts w:hint="eastAsia" w:ascii="仿宋" w:hAnsi="仿宋" w:eastAsia="仿宋" w:cs="仿宋"/>
          <w:color w:val="auto"/>
          <w:sz w:val="32"/>
          <w:szCs w:val="32"/>
          <w:highlight w:val="none"/>
          <w:lang w:val="en-US" w:eastAsia="zh-CN"/>
        </w:rPr>
        <w:t>办法</w:t>
      </w:r>
      <w:r>
        <w:rPr>
          <w:rFonts w:hint="eastAsia" w:ascii="仿宋" w:hAnsi="仿宋" w:eastAsia="仿宋" w:cs="仿宋"/>
          <w:color w:val="auto"/>
          <w:sz w:val="32"/>
          <w:szCs w:val="32"/>
          <w:highlight w:val="none"/>
        </w:rPr>
        <w:t>的设施申请动态调整;按照建管结合原则和有关规定对第三方专业运维单位的运行维护工作开展监督、监管并建立工作台账。</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第九条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各行政村配合</w:t>
      </w:r>
      <w:r>
        <w:rPr>
          <w:rFonts w:hint="eastAsia" w:ascii="仿宋" w:hAnsi="仿宋" w:eastAsia="仿宋" w:cs="仿宋"/>
          <w:color w:val="auto"/>
          <w:sz w:val="32"/>
          <w:szCs w:val="32"/>
          <w:highlight w:val="none"/>
          <w:lang w:val="en-US" w:eastAsia="zh-CN"/>
        </w:rPr>
        <w:t>各</w:t>
      </w:r>
      <w:r>
        <w:rPr>
          <w:rFonts w:hint="eastAsia" w:ascii="仿宋" w:hAnsi="仿宋" w:eastAsia="仿宋" w:cs="仿宋"/>
          <w:color w:val="auto"/>
          <w:sz w:val="32"/>
          <w:szCs w:val="32"/>
          <w:highlight w:val="none"/>
        </w:rPr>
        <w:t>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履行本村污水处理设施的日常运行维护管理职责，监督、指导新建(改建)农户污水接入污水处理设施。</w:t>
      </w:r>
    </w:p>
    <w:p>
      <w:pPr>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各</w:t>
      </w:r>
      <w:r>
        <w:rPr>
          <w:rFonts w:hint="eastAsia" w:ascii="仿宋" w:hAnsi="仿宋" w:eastAsia="仿宋" w:cs="仿宋"/>
          <w:color w:val="auto"/>
          <w:sz w:val="32"/>
          <w:szCs w:val="32"/>
          <w:highlight w:val="none"/>
        </w:rPr>
        <w:t>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应落实运维管理主体责任，督促</w:t>
      </w:r>
      <w:r>
        <w:rPr>
          <w:rFonts w:hint="eastAsia" w:ascii="仿宋" w:hAnsi="仿宋" w:eastAsia="仿宋" w:cs="仿宋"/>
          <w:color w:val="auto"/>
          <w:sz w:val="32"/>
          <w:szCs w:val="32"/>
          <w:highlight w:val="none"/>
        </w:rPr>
        <w:t>第三方专业运维单位落实运行维护管理职责及要求，建立运行维护管理专业队伍，制定操作规程和工作制度，做好污水处理设施的日常运行、定期维护、应急维修和巡查、检查等工作，</w:t>
      </w:r>
      <w:r>
        <w:rPr>
          <w:rFonts w:hint="eastAsia" w:ascii="仿宋" w:hAnsi="仿宋" w:eastAsia="仿宋" w:cs="仿宋"/>
          <w:color w:val="auto"/>
          <w:sz w:val="32"/>
          <w:szCs w:val="32"/>
          <w:highlight w:val="none"/>
          <w:lang w:val="en-US" w:eastAsia="zh-CN"/>
        </w:rPr>
        <w:t>并</w:t>
      </w:r>
      <w:r>
        <w:rPr>
          <w:rFonts w:hint="eastAsia" w:ascii="仿宋" w:hAnsi="仿宋" w:eastAsia="仿宋" w:cs="仿宋"/>
          <w:color w:val="auto"/>
          <w:sz w:val="32"/>
          <w:szCs w:val="32"/>
          <w:highlight w:val="none"/>
        </w:rPr>
        <w:t>定期向各镇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及相关部门报告运行维护情况。</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第三章 运行维护资金保障</w:t>
      </w:r>
    </w:p>
    <w:p>
      <w:pPr>
        <w:ind w:firstLine="643"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第十一条 </w:t>
      </w:r>
      <w:r>
        <w:rPr>
          <w:rFonts w:hint="eastAsia" w:ascii="仿宋" w:hAnsi="仿宋" w:eastAsia="仿宋" w:cs="仿宋"/>
          <w:color w:val="auto"/>
          <w:sz w:val="32"/>
          <w:szCs w:val="32"/>
          <w:highlight w:val="none"/>
          <w:lang w:val="en-US" w:eastAsia="zh-CN"/>
        </w:rPr>
        <w:t>农村生活污水处理设施的运维服务费由区农业农村局拨付，第三方专业运维单位由</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通过公开招投标的程序依法依规确定，运维费包括设施电费、水质监测费、终端维护费。</w:t>
      </w:r>
    </w:p>
    <w:p>
      <w:pPr>
        <w:ind w:firstLine="643"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第十二条 </w:t>
      </w:r>
      <w:r>
        <w:rPr>
          <w:rFonts w:hint="eastAsia" w:ascii="仿宋" w:hAnsi="仿宋" w:eastAsia="仿宋" w:cs="仿宋"/>
          <w:color w:val="auto"/>
          <w:sz w:val="32"/>
          <w:szCs w:val="32"/>
          <w:highlight w:val="none"/>
          <w:lang w:val="en-US" w:eastAsia="zh-CN"/>
        </w:rPr>
        <w:t>农村生活污水处理设施每年维修费用按</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实际发生的农村生活污水处理设施维修费报销，</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对农村生活污水处理设施FMBR膜及污水收集管网、窖井、调节池处理工艺主体等构筑物维修完成后，提交维修方案、支付凭证及第三方专业运维单位出具的维修竣工验收单等材料报区农业农村局联合审核，</w:t>
      </w:r>
      <w:r>
        <w:rPr>
          <w:rFonts w:hint="eastAsia" w:ascii="仿宋_GB2312" w:hAnsi="仿宋_GB2312" w:eastAsia="仿宋_GB2312" w:cs="仿宋_GB2312"/>
          <w:sz w:val="32"/>
          <w:szCs w:val="32"/>
          <w:highlight w:val="none"/>
          <w:vertAlign w:val="baseline"/>
          <w:lang w:val="en-US" w:eastAsia="zh-CN" w:bidi="ar-SA"/>
        </w:rPr>
        <w:t>审核通过后区财政下达维修费至区农业农村局。</w:t>
      </w:r>
    </w:p>
    <w:p>
      <w:pPr>
        <w:ind w:firstLine="643"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第十三条 </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应当加强对农村污水处理设施运行维护及维修资金的使用管理，任何单位和个人不得截留、挤占和挪用。</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第四章 附则</w:t>
      </w:r>
    </w:p>
    <w:p>
      <w:pPr>
        <w:ind w:firstLine="643"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第十四条</w:t>
      </w:r>
      <w:r>
        <w:rPr>
          <w:rFonts w:hint="eastAsia" w:ascii="仿宋" w:hAnsi="仿宋" w:eastAsia="仿宋" w:cs="仿宋"/>
          <w:color w:val="auto"/>
          <w:sz w:val="32"/>
          <w:szCs w:val="32"/>
          <w:highlight w:val="none"/>
          <w:lang w:val="en-US" w:eastAsia="zh-CN"/>
        </w:rPr>
        <w:t xml:space="preserve"> 本办法自印发之日起30日后施行。</w:t>
      </w:r>
    </w:p>
    <w:p>
      <w:p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附件:红谷滩区农村生活污水处理设施运维考核方案</w:t>
      </w:r>
    </w:p>
    <w:p>
      <w:pPr>
        <w:ind w:firstLine="640" w:firstLineChars="200"/>
        <w:rPr>
          <w:rFonts w:hint="eastAsia" w:ascii="仿宋" w:hAnsi="仿宋" w:eastAsia="仿宋" w:cs="仿宋"/>
          <w:color w:val="auto"/>
          <w:sz w:val="32"/>
          <w:szCs w:val="32"/>
          <w:highlight w:val="none"/>
          <w:lang w:val="en-US" w:eastAsia="zh-CN"/>
        </w:rPr>
      </w:pPr>
    </w:p>
    <w:p>
      <w:pPr>
        <w:ind w:firstLine="640" w:firstLineChars="200"/>
        <w:rPr>
          <w:rFonts w:hint="eastAsia" w:ascii="仿宋" w:hAnsi="仿宋" w:eastAsia="仿宋" w:cs="仿宋"/>
          <w:color w:val="auto"/>
          <w:sz w:val="32"/>
          <w:szCs w:val="32"/>
          <w:highlight w:val="none"/>
          <w:lang w:val="en-US" w:eastAsia="zh-CN"/>
        </w:rPr>
      </w:pPr>
    </w:p>
    <w:p>
      <w:pPr>
        <w:ind w:firstLine="640" w:firstLineChars="200"/>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jc w:val="left"/>
        <w:textAlignment w:val="auto"/>
        <w:rPr>
          <w:rFonts w:hint="eastAsia" w:ascii="宋体" w:hAnsi="宋体" w:eastAsia="宋体" w:cs="宋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红谷滩区农村生活污水处理设施</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highlight w:val="none"/>
          <w:shd w:val="clear" w:fill="FFFFFF"/>
          <w:lang w:val="en-US" w:eastAsia="zh-CN"/>
          <w14:textFill>
            <w14:solidFill>
              <w14:schemeClr w14:val="tx1"/>
            </w14:solidFill>
          </w14:textFill>
        </w:rPr>
        <w:t>运维考核方案</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color w:val="auto"/>
          <w:sz w:val="44"/>
          <w:szCs w:val="44"/>
          <w:highlight w:val="none"/>
        </w:rPr>
      </w:pP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加强</w:t>
      </w:r>
      <w:r>
        <w:rPr>
          <w:rFonts w:hint="eastAsia" w:ascii="仿宋_GB2312" w:hAnsi="仿宋_GB2312" w:eastAsia="仿宋_GB2312" w:cs="仿宋_GB2312"/>
          <w:color w:val="auto"/>
          <w:sz w:val="32"/>
          <w:szCs w:val="32"/>
          <w:highlight w:val="none"/>
          <w:lang w:eastAsia="zh-CN"/>
        </w:rPr>
        <w:t>我</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农村生活污水处理</w:t>
      </w:r>
      <w:r>
        <w:rPr>
          <w:rFonts w:hint="eastAsia" w:ascii="仿宋_GB2312" w:hAnsi="仿宋_GB2312" w:eastAsia="仿宋_GB2312" w:cs="仿宋_GB2312"/>
          <w:color w:val="auto"/>
          <w:sz w:val="32"/>
          <w:szCs w:val="32"/>
          <w:highlight w:val="none"/>
          <w:lang w:val="en-US" w:eastAsia="zh-CN"/>
        </w:rPr>
        <w:t>的监管</w:t>
      </w:r>
      <w:r>
        <w:rPr>
          <w:rFonts w:hint="eastAsia" w:ascii="仿宋_GB2312" w:hAnsi="仿宋_GB2312" w:eastAsia="仿宋_GB2312" w:cs="仿宋_GB2312"/>
          <w:color w:val="auto"/>
          <w:sz w:val="32"/>
          <w:szCs w:val="32"/>
          <w:highlight w:val="none"/>
        </w:rPr>
        <w:t>，不断提高出水达标率，提升农村人居环境水平，</w:t>
      </w:r>
      <w:r>
        <w:rPr>
          <w:rFonts w:hint="eastAsia" w:ascii="仿宋_GB2312" w:hAnsi="仿宋_GB2312" w:eastAsia="仿宋_GB2312" w:cs="仿宋_GB2312"/>
          <w:color w:val="auto"/>
          <w:sz w:val="32"/>
          <w:szCs w:val="32"/>
          <w:highlight w:val="none"/>
          <w:lang w:val="en-US" w:eastAsia="zh-CN"/>
        </w:rPr>
        <w:t>确保全区农村生活污水处理设施“有钱建、能运行、有人管、能长效”，</w:t>
      </w:r>
      <w:r>
        <w:rPr>
          <w:rFonts w:hint="eastAsia" w:ascii="仿宋_GB2312" w:hAnsi="仿宋_GB2312" w:eastAsia="仿宋_GB2312" w:cs="仿宋_GB2312"/>
          <w:color w:val="auto"/>
          <w:sz w:val="32"/>
          <w:szCs w:val="32"/>
          <w:highlight w:val="none"/>
        </w:rPr>
        <w:t>根据《南昌市人民政府办公室关于印发南昌市农村生活污水处理系统运行维护管理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的通知》（洪府办发〔2021〕23号</w:t>
      </w:r>
      <w:r>
        <w:rPr>
          <w:rFonts w:hint="eastAsia" w:ascii="仿宋_GB2312" w:hAnsi="仿宋_GB2312" w:eastAsia="仿宋_GB2312" w:cs="仿宋_GB2312"/>
          <w:color w:val="auto"/>
          <w:sz w:val="32"/>
          <w:szCs w:val="32"/>
          <w:highlight w:val="none"/>
          <w:lang w:val="en-US" w:eastAsia="zh-CN"/>
        </w:rPr>
        <w:t>)、《红谷滩区农村生活污水处理系统运行维护管理办法》</w:t>
      </w:r>
      <w:r>
        <w:rPr>
          <w:rFonts w:hint="eastAsia" w:ascii="仿宋_GB2312" w:hAnsi="仿宋_GB2312" w:eastAsia="仿宋_GB2312" w:cs="仿宋_GB2312"/>
          <w:color w:val="auto"/>
          <w:sz w:val="32"/>
          <w:szCs w:val="32"/>
          <w:highlight w:val="none"/>
        </w:rPr>
        <w:t>文件要求，制定本</w:t>
      </w:r>
      <w:r>
        <w:rPr>
          <w:rFonts w:hint="eastAsia" w:ascii="仿宋_GB2312" w:hAnsi="仿宋_GB2312" w:eastAsia="仿宋_GB2312" w:cs="仿宋_GB2312"/>
          <w:color w:val="auto"/>
          <w:sz w:val="32"/>
          <w:szCs w:val="32"/>
          <w:highlight w:val="none"/>
          <w:lang w:val="en-US" w:eastAsia="zh-CN"/>
        </w:rPr>
        <w:t>考核方案</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一、考核</w:t>
      </w:r>
      <w:r>
        <w:rPr>
          <w:rFonts w:hint="eastAsia" w:ascii="黑体" w:hAnsi="黑体" w:eastAsia="黑体" w:cs="黑体"/>
          <w:b/>
          <w:bCs/>
          <w:color w:val="auto"/>
          <w:sz w:val="32"/>
          <w:szCs w:val="32"/>
          <w:highlight w:val="none"/>
          <w:lang w:val="en-US" w:eastAsia="zh-CN"/>
        </w:rPr>
        <w:t>范围</w:t>
      </w:r>
    </w:p>
    <w:p>
      <w:pPr>
        <w:keepNext w:val="0"/>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各乡镇农村污水集中处理系统运行维护管理情况（已建成投入运行污水处理设施）</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rPr>
        <w:t>二、考核方式</w:t>
      </w:r>
    </w:p>
    <w:p>
      <w:pPr>
        <w:keepNext w:val="0"/>
        <w:keepLines w:val="0"/>
        <w:pageBreakBefore w:val="0"/>
        <w:widowControl w:val="0"/>
        <w:kinsoku/>
        <w:wordWrap/>
        <w:overflowPunct/>
        <w:topLinePunct w:val="0"/>
        <w:autoSpaceDE/>
        <w:autoSpaceDN/>
        <w:bidi w:val="0"/>
        <w:spacing w:line="240" w:lineRule="auto"/>
        <w:ind w:firstLine="64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采取各乡镇（街道）自评，区级组织专家进行现场抽查复核方式相结合。</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三、考核时间</w:t>
      </w:r>
    </w:p>
    <w:p>
      <w:pPr>
        <w:keepNext w:val="0"/>
        <w:keepLines w:val="0"/>
        <w:pageBreakBefore w:val="0"/>
        <w:widowControl w:val="0"/>
        <w:numPr>
          <w:ilvl w:val="-1"/>
          <w:numId w:val="0"/>
        </w:numPr>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各乡镇自评报告每年11月15日前报送红谷滩生态环境局备案，区级组织专家进行现场抽查复核</w:t>
      </w:r>
      <w:r>
        <w:rPr>
          <w:rFonts w:hint="eastAsia" w:ascii="仿宋_GB2312" w:hAnsi="仿宋_GB2312" w:eastAsia="仿宋_GB2312" w:cs="仿宋_GB2312"/>
          <w:color w:val="auto"/>
          <w:sz w:val="32"/>
          <w:szCs w:val="32"/>
          <w:highlight w:val="none"/>
          <w:lang w:val="en-US" w:eastAsia="zh-CN"/>
        </w:rPr>
        <w:t>（具体时间另行通知）。</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四、考核内容与标准</w:t>
      </w:r>
    </w:p>
    <w:p>
      <w:pPr>
        <w:pStyle w:val="2"/>
        <w:keepLines w:val="0"/>
        <w:pageBreakBefore w:val="0"/>
        <w:kinsoku/>
        <w:wordWrap/>
        <w:overflowPunct/>
        <w:topLinePunct w:val="0"/>
        <w:autoSpaceDE/>
        <w:autoSpaceDN/>
        <w:bidi w:val="0"/>
        <w:spacing w:line="240" w:lineRule="auto"/>
        <w:textAlignment w:val="auto"/>
        <w:rPr>
          <w:rFonts w:hint="default" w:ascii="Times New Roman" w:hAnsi="Times New Roman" w:eastAsia="黑体" w:cs="Times New Roman"/>
          <w:color w:val="auto"/>
          <w:sz w:val="21"/>
          <w:szCs w:val="24"/>
          <w:highlight w:val="none"/>
        </w:rPr>
      </w:pPr>
      <w:r>
        <w:rPr>
          <w:rFonts w:hint="eastAsia" w:ascii="黑体" w:hAnsi="黑体" w:eastAsia="黑体" w:cs="黑体"/>
          <w:color w:val="auto"/>
          <w:sz w:val="32"/>
          <w:szCs w:val="32"/>
          <w:highlight w:val="none"/>
          <w:lang w:val="en-US" w:eastAsia="zh-CN"/>
        </w:rPr>
        <w:t xml:space="preserve">   </w:t>
      </w:r>
      <w:r>
        <w:rPr>
          <w:rFonts w:hint="eastAsia" w:ascii="仿宋_GB2312" w:hAnsi="仿宋" w:eastAsia="仿宋_GB2312" w:cs="Times New Roman"/>
          <w:b w:val="0"/>
          <w:color w:val="auto"/>
          <w:sz w:val="32"/>
          <w:szCs w:val="32"/>
          <w:highlight w:val="none"/>
          <w:lang w:val="en-US" w:eastAsia="zh-CN"/>
        </w:rPr>
        <w:t xml:space="preserve"> 1</w:t>
      </w:r>
      <w:r>
        <w:rPr>
          <w:rFonts w:hint="eastAsia" w:ascii="仿宋_GB2312" w:hAnsi="仿宋" w:eastAsia="仿宋_GB2312" w:cs="Times New Roman"/>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rPr>
        <w:t>各镇</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街道</w:t>
      </w:r>
      <w:r>
        <w:rPr>
          <w:rFonts w:hint="eastAsia" w:ascii="仿宋" w:hAnsi="仿宋" w:eastAsia="仿宋" w:cs="仿宋"/>
          <w:b w:val="0"/>
          <w:bCs w:val="0"/>
          <w:color w:val="auto"/>
          <w:sz w:val="32"/>
          <w:szCs w:val="32"/>
          <w:highlight w:val="none"/>
          <w:lang w:eastAsia="zh-CN"/>
        </w:rPr>
        <w:t>）</w:t>
      </w:r>
      <w:r>
        <w:rPr>
          <w:rFonts w:hint="eastAsia" w:ascii="仿宋_GB2312" w:hAnsi="仿宋" w:eastAsia="仿宋_GB2312" w:cs="Times New Roman"/>
          <w:b w:val="0"/>
          <w:bCs w:val="0"/>
          <w:color w:val="auto"/>
          <w:sz w:val="32"/>
          <w:szCs w:val="32"/>
          <w:highlight w:val="none"/>
          <w:lang w:val="en-US" w:eastAsia="zh-CN"/>
        </w:rPr>
        <w:t>落实主</w:t>
      </w:r>
      <w:r>
        <w:rPr>
          <w:rFonts w:hint="eastAsia" w:ascii="仿宋_GB2312" w:hAnsi="仿宋" w:eastAsia="仿宋_GB2312" w:cs="Times New Roman"/>
          <w:b w:val="0"/>
          <w:color w:val="auto"/>
          <w:sz w:val="32"/>
          <w:szCs w:val="32"/>
          <w:highlight w:val="none"/>
          <w:lang w:val="en-US" w:eastAsia="zh-CN"/>
        </w:rPr>
        <w:t>体责任情况（10分）；</w:t>
      </w:r>
    </w:p>
    <w:p>
      <w:pPr>
        <w:pStyle w:val="6"/>
        <w:keepNext w:val="0"/>
        <w:keepLines w:val="0"/>
        <w:pageBreakBefore w:val="0"/>
        <w:widowControl w:val="0"/>
        <w:numPr>
          <w:ilvl w:val="0"/>
          <w:numId w:val="0"/>
        </w:numPr>
        <w:kinsoku/>
        <w:wordWrap/>
        <w:overflowPunct/>
        <w:topLinePunct w:val="0"/>
        <w:autoSpaceDE/>
        <w:autoSpaceDN/>
        <w:bidi w:val="0"/>
        <w:spacing w:line="240" w:lineRule="auto"/>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2.</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 w:eastAsia="仿宋_GB2312"/>
          <w:color w:val="auto"/>
          <w:sz w:val="32"/>
          <w:szCs w:val="32"/>
          <w:highlight w:val="none"/>
          <w:lang w:val="en-US" w:eastAsia="zh-CN"/>
        </w:rPr>
        <w:t>人民政府委托第三方专业机构运行维护管理情况（10分）；</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政府运维资金落实情况（10分）；</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4</w:t>
      </w:r>
      <w:r>
        <w:rPr>
          <w:rFonts w:hint="eastAsia" w:ascii="仿宋_GB2312" w:hAnsi="仿宋_GB2312" w:eastAsia="仿宋_GB2312" w:cs="仿宋_GB2312"/>
          <w:color w:val="auto"/>
          <w:sz w:val="32"/>
          <w:szCs w:val="32"/>
          <w:highlight w:val="none"/>
          <w:lang w:val="en-US" w:eastAsia="zh-CN"/>
        </w:rPr>
        <w:t>.</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农村污水处理系统运行情况(15分)；</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建立污水设施运行维护管理制度情况</w:t>
      </w:r>
      <w:r>
        <w:rPr>
          <w:rFonts w:hint="eastAsia" w:ascii="仿宋_GB2312" w:hAnsi="仿宋_GB2312" w:eastAsia="仿宋_GB2312" w:cs="仿宋_GB2312"/>
          <w:color w:val="auto"/>
          <w:sz w:val="32"/>
          <w:szCs w:val="32"/>
          <w:highlight w:val="none"/>
        </w:rPr>
        <w:t>（5分）</w:t>
      </w:r>
      <w:r>
        <w:rPr>
          <w:rFonts w:hint="eastAsia" w:ascii="仿宋_GB2312" w:hAnsi="仿宋_GB2312" w:eastAsia="仿宋_GB2312" w:cs="仿宋_GB2312"/>
          <w:color w:val="auto"/>
          <w:sz w:val="32"/>
          <w:szCs w:val="32"/>
          <w:highlight w:val="none"/>
          <w:lang w:val="en-US" w:eastAsia="zh-CN"/>
        </w:rPr>
        <w:t>；</w:t>
      </w:r>
    </w:p>
    <w:p>
      <w:pPr>
        <w:keepLines w:val="0"/>
        <w:pageBreakBefore w:val="0"/>
        <w:numPr>
          <w:ilvl w:val="-1"/>
          <w:numId w:val="0"/>
        </w:numPr>
        <w:kinsoku/>
        <w:wordWrap/>
        <w:overflowPunct/>
        <w:topLinePunct w:val="0"/>
        <w:autoSpaceDE/>
        <w:autoSpaceDN/>
        <w:bidi w:val="0"/>
        <w:spacing w:line="240" w:lineRule="auto"/>
        <w:ind w:left="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_GB2312" w:eastAsia="仿宋_GB2312" w:cs="仿宋_GB2312"/>
          <w:color w:val="auto"/>
          <w:sz w:val="32"/>
          <w:szCs w:val="32"/>
          <w:highlight w:val="none"/>
        </w:rPr>
        <w:t>建立农村生活污水处理系统相关档案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15分</w:t>
      </w:r>
      <w:r>
        <w:rPr>
          <w:rFonts w:hint="eastAsia" w:ascii="仿宋_GB2312" w:hAnsi="仿宋_GB2312" w:eastAsia="仿宋_GB2312" w:cs="仿宋_GB2312"/>
          <w:color w:val="auto"/>
          <w:sz w:val="32"/>
          <w:szCs w:val="32"/>
          <w:highlight w:val="none"/>
          <w:lang w:eastAsia="zh-CN"/>
        </w:rPr>
        <w:t>）；</w:t>
      </w:r>
    </w:p>
    <w:p>
      <w:pPr>
        <w:keepLines w:val="0"/>
        <w:pageBreakBefore w:val="0"/>
        <w:numPr>
          <w:ilvl w:val="-1"/>
          <w:numId w:val="0"/>
        </w:numPr>
        <w:kinsoku/>
        <w:wordWrap/>
        <w:overflowPunct/>
        <w:topLinePunct w:val="0"/>
        <w:autoSpaceDE/>
        <w:autoSpaceDN/>
        <w:bidi w:val="0"/>
        <w:spacing w:line="240" w:lineRule="auto"/>
        <w:ind w:left="0" w:firstLine="640" w:firstLineChars="200"/>
        <w:textAlignment w:val="auto"/>
        <w:rPr>
          <w:rFonts w:hint="default" w:ascii="仿宋_GB2312" w:hAnsi="仿宋" w:eastAsia="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树立明显标识牌，内容包括污水处理系统名称、建设能力、处理工艺、服务人口、维护人员电话等信息（4分）；</w:t>
      </w:r>
    </w:p>
    <w:p>
      <w:pPr>
        <w:keepLines w:val="0"/>
        <w:pageBreakBefore w:val="0"/>
        <w:kinsoku/>
        <w:wordWrap/>
        <w:overflowPunct/>
        <w:topLinePunct w:val="0"/>
        <w:autoSpaceDE/>
        <w:autoSpaceDN/>
        <w:bidi w:val="0"/>
        <w:spacing w:line="240" w:lineRule="auto"/>
        <w:ind w:firstLine="640" w:firstLineChars="200"/>
        <w:textAlignment w:val="auto"/>
        <w:rPr>
          <w:rFonts w:hint="default" w:ascii="仿宋_GB2312" w:hAnsi="仿宋" w:eastAsia="仿宋_GB2312"/>
          <w:color w:val="auto"/>
          <w:sz w:val="32"/>
          <w:szCs w:val="32"/>
          <w:highlight w:val="none"/>
          <w:lang w:eastAsia="zh-CN"/>
        </w:rPr>
      </w:pPr>
      <w:r>
        <w:rPr>
          <w:rFonts w:hint="default"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2</w:t>
      </w:r>
      <w:r>
        <w:rPr>
          <w:rFonts w:hint="default" w:ascii="仿宋_GB2312" w:hAnsi="仿宋" w:eastAsia="仿宋_GB2312"/>
          <w:color w:val="auto"/>
          <w:sz w:val="32"/>
          <w:szCs w:val="32"/>
          <w:highlight w:val="none"/>
          <w:lang w:eastAsia="zh-CN"/>
        </w:rPr>
        <w:t>）日常运行维护管理记录</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包括</w:t>
      </w:r>
      <w:r>
        <w:rPr>
          <w:rFonts w:hint="default" w:ascii="仿宋_GB2312" w:hAnsi="仿宋" w:eastAsia="仿宋_GB2312"/>
          <w:color w:val="auto"/>
          <w:sz w:val="32"/>
          <w:szCs w:val="32"/>
          <w:highlight w:val="none"/>
          <w:lang w:eastAsia="zh-CN"/>
        </w:rPr>
        <w:t>巡查时间、</w:t>
      </w:r>
      <w:r>
        <w:rPr>
          <w:rFonts w:hint="eastAsia" w:ascii="仿宋_GB2312" w:hAnsi="仿宋" w:eastAsia="仿宋_GB2312"/>
          <w:color w:val="auto"/>
          <w:sz w:val="32"/>
          <w:szCs w:val="32"/>
          <w:highlight w:val="none"/>
          <w:lang w:val="en-US" w:eastAsia="zh-CN"/>
        </w:rPr>
        <w:t>巡查内容、</w:t>
      </w:r>
      <w:r>
        <w:rPr>
          <w:rFonts w:hint="default" w:ascii="仿宋_GB2312" w:hAnsi="仿宋" w:eastAsia="仿宋_GB2312"/>
          <w:color w:val="auto"/>
          <w:sz w:val="32"/>
          <w:szCs w:val="32"/>
          <w:highlight w:val="none"/>
          <w:lang w:eastAsia="zh-CN"/>
        </w:rPr>
        <w:t>运行</w:t>
      </w:r>
      <w:r>
        <w:rPr>
          <w:rFonts w:hint="eastAsia" w:ascii="仿宋_GB2312" w:hAnsi="仿宋" w:eastAsia="仿宋_GB2312"/>
          <w:color w:val="auto"/>
          <w:sz w:val="32"/>
          <w:szCs w:val="32"/>
          <w:highlight w:val="none"/>
          <w:lang w:eastAsia="zh-CN"/>
        </w:rPr>
        <w:t>状况、</w:t>
      </w:r>
      <w:r>
        <w:rPr>
          <w:rFonts w:hint="eastAsia" w:ascii="仿宋_GB2312" w:hAnsi="仿宋" w:eastAsia="仿宋_GB2312"/>
          <w:color w:val="auto"/>
          <w:sz w:val="32"/>
          <w:szCs w:val="32"/>
          <w:highlight w:val="none"/>
          <w:lang w:val="en-US" w:eastAsia="zh-CN"/>
        </w:rPr>
        <w:t>存在问题、</w:t>
      </w:r>
      <w:r>
        <w:rPr>
          <w:rFonts w:hint="default" w:ascii="仿宋_GB2312" w:hAnsi="仿宋" w:eastAsia="仿宋_GB2312"/>
          <w:color w:val="auto"/>
          <w:sz w:val="32"/>
          <w:szCs w:val="32"/>
          <w:highlight w:val="none"/>
          <w:lang w:eastAsia="zh-CN"/>
        </w:rPr>
        <w:t>处理</w:t>
      </w:r>
      <w:r>
        <w:rPr>
          <w:rFonts w:hint="eastAsia" w:ascii="仿宋_GB2312" w:hAnsi="仿宋" w:eastAsia="仿宋_GB2312"/>
          <w:color w:val="auto"/>
          <w:sz w:val="32"/>
          <w:szCs w:val="32"/>
          <w:highlight w:val="none"/>
          <w:lang w:val="en-US" w:eastAsia="zh-CN"/>
        </w:rPr>
        <w:t>意见等</w:t>
      </w:r>
      <w:r>
        <w:rPr>
          <w:rFonts w:hint="default" w:ascii="仿宋_GB2312" w:hAnsi="仿宋" w:eastAsia="仿宋_GB2312"/>
          <w:color w:val="auto"/>
          <w:sz w:val="32"/>
          <w:szCs w:val="32"/>
          <w:highlight w:val="none"/>
          <w:lang w:eastAsia="zh-CN"/>
        </w:rPr>
        <w:t>情况</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4分</w:t>
      </w:r>
      <w:r>
        <w:rPr>
          <w:rFonts w:hint="eastAsia" w:ascii="仿宋_GB2312" w:hAnsi="仿宋" w:eastAsia="仿宋_GB2312"/>
          <w:color w:val="auto"/>
          <w:sz w:val="32"/>
          <w:szCs w:val="32"/>
          <w:highlight w:val="none"/>
          <w:lang w:eastAsia="zh-CN"/>
        </w:rPr>
        <w:t>）</w:t>
      </w:r>
      <w:r>
        <w:rPr>
          <w:rFonts w:hint="default" w:ascii="仿宋_GB2312" w:hAnsi="仿宋" w:eastAsia="仿宋_GB2312"/>
          <w:color w:val="auto"/>
          <w:sz w:val="32"/>
          <w:szCs w:val="32"/>
          <w:highlight w:val="none"/>
          <w:lang w:eastAsia="zh-CN"/>
        </w:rPr>
        <w:t>；</w:t>
      </w:r>
    </w:p>
    <w:p>
      <w:pPr>
        <w:keepLines w:val="0"/>
        <w:pageBreakBefore w:val="0"/>
        <w:kinsoku/>
        <w:wordWrap/>
        <w:overflowPunct/>
        <w:topLinePunct w:val="0"/>
        <w:autoSpaceDE/>
        <w:autoSpaceDN/>
        <w:bidi w:val="0"/>
        <w:spacing w:line="240" w:lineRule="auto"/>
        <w:ind w:firstLine="640" w:firstLineChars="200"/>
        <w:textAlignment w:val="auto"/>
        <w:rPr>
          <w:rFonts w:hint="default" w:ascii="仿宋_GB2312" w:hAnsi="仿宋" w:eastAsia="仿宋_GB2312"/>
          <w:color w:val="auto"/>
          <w:sz w:val="32"/>
          <w:szCs w:val="32"/>
          <w:highlight w:val="none"/>
          <w:lang w:eastAsia="zh-CN"/>
        </w:rPr>
      </w:pPr>
      <w:r>
        <w:rPr>
          <w:rFonts w:hint="default"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3</w:t>
      </w:r>
      <w:r>
        <w:rPr>
          <w:rFonts w:hint="default" w:ascii="仿宋_GB2312" w:hAnsi="仿宋" w:eastAsia="仿宋_GB2312"/>
          <w:color w:val="auto"/>
          <w:sz w:val="32"/>
          <w:szCs w:val="32"/>
          <w:highlight w:val="none"/>
          <w:lang w:eastAsia="zh-CN"/>
        </w:rPr>
        <w:t>）重大故障、严重问题</w:t>
      </w:r>
      <w:r>
        <w:rPr>
          <w:rFonts w:hint="eastAsia" w:ascii="仿宋_GB2312" w:hAnsi="仿宋" w:eastAsia="仿宋_GB2312"/>
          <w:color w:val="auto"/>
          <w:sz w:val="32"/>
          <w:szCs w:val="32"/>
          <w:highlight w:val="none"/>
          <w:lang w:val="en-US" w:eastAsia="zh-CN"/>
        </w:rPr>
        <w:t>情况</w:t>
      </w:r>
      <w:r>
        <w:rPr>
          <w:rFonts w:hint="default" w:ascii="仿宋_GB2312" w:hAnsi="仿宋" w:eastAsia="仿宋_GB2312"/>
          <w:color w:val="auto"/>
          <w:sz w:val="32"/>
          <w:szCs w:val="32"/>
          <w:highlight w:val="none"/>
          <w:lang w:eastAsia="zh-CN"/>
        </w:rPr>
        <w:t>报告</w:t>
      </w:r>
      <w:r>
        <w:rPr>
          <w:rFonts w:hint="eastAsia" w:ascii="仿宋_GB2312" w:hAnsi="仿宋" w:eastAsia="仿宋_GB2312"/>
          <w:color w:val="auto"/>
          <w:sz w:val="32"/>
          <w:szCs w:val="32"/>
          <w:highlight w:val="none"/>
          <w:lang w:val="en-US" w:eastAsia="zh-CN"/>
        </w:rPr>
        <w:t>和</w:t>
      </w:r>
      <w:r>
        <w:rPr>
          <w:rFonts w:hint="default" w:ascii="仿宋_GB2312" w:hAnsi="仿宋" w:eastAsia="仿宋_GB2312"/>
          <w:color w:val="auto"/>
          <w:sz w:val="32"/>
          <w:szCs w:val="32"/>
          <w:highlight w:val="none"/>
          <w:lang w:eastAsia="zh-CN"/>
        </w:rPr>
        <w:t>处理结果记录</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4分</w:t>
      </w:r>
      <w:r>
        <w:rPr>
          <w:rFonts w:hint="eastAsia" w:ascii="仿宋_GB2312" w:hAnsi="仿宋" w:eastAsia="仿宋_GB2312"/>
          <w:color w:val="auto"/>
          <w:sz w:val="32"/>
          <w:szCs w:val="32"/>
          <w:highlight w:val="none"/>
          <w:lang w:eastAsia="zh-CN"/>
        </w:rPr>
        <w:t>）</w:t>
      </w:r>
      <w:r>
        <w:rPr>
          <w:rFonts w:hint="default" w:ascii="仿宋_GB2312" w:hAnsi="仿宋" w:eastAsia="仿宋_GB2312"/>
          <w:color w:val="auto"/>
          <w:sz w:val="32"/>
          <w:szCs w:val="32"/>
          <w:highlight w:val="none"/>
          <w:lang w:eastAsia="zh-CN"/>
        </w:rPr>
        <w:t>；</w:t>
      </w:r>
    </w:p>
    <w:p>
      <w:pPr>
        <w:keepLines w:val="0"/>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4</w:t>
      </w:r>
      <w:r>
        <w:rPr>
          <w:rFonts w:hint="default" w:ascii="仿宋_GB2312" w:hAnsi="仿宋" w:eastAsia="仿宋_GB2312"/>
          <w:color w:val="auto"/>
          <w:sz w:val="32"/>
          <w:szCs w:val="32"/>
          <w:highlight w:val="none"/>
          <w:lang w:eastAsia="zh-CN"/>
        </w:rPr>
        <w:t>）年度</w:t>
      </w:r>
      <w:r>
        <w:rPr>
          <w:rFonts w:hint="eastAsia" w:ascii="仿宋_GB2312" w:hAnsi="仿宋" w:eastAsia="仿宋_GB2312"/>
          <w:color w:val="auto"/>
          <w:sz w:val="32"/>
          <w:szCs w:val="32"/>
          <w:highlight w:val="none"/>
          <w:lang w:val="en-US" w:eastAsia="zh-CN"/>
        </w:rPr>
        <w:t>运行维护、</w:t>
      </w:r>
      <w:r>
        <w:rPr>
          <w:rFonts w:hint="default" w:ascii="仿宋_GB2312" w:hAnsi="仿宋" w:eastAsia="仿宋_GB2312"/>
          <w:color w:val="auto"/>
          <w:sz w:val="32"/>
          <w:szCs w:val="32"/>
          <w:highlight w:val="none"/>
          <w:lang w:eastAsia="zh-CN"/>
        </w:rPr>
        <w:t>检修</w:t>
      </w:r>
      <w:r>
        <w:rPr>
          <w:rFonts w:hint="eastAsia" w:ascii="仿宋_GB2312" w:hAnsi="仿宋" w:eastAsia="仿宋_GB2312"/>
          <w:color w:val="auto"/>
          <w:sz w:val="32"/>
          <w:szCs w:val="32"/>
          <w:highlight w:val="none"/>
          <w:lang w:eastAsia="zh-CN"/>
        </w:rPr>
        <w:t>、</w:t>
      </w:r>
      <w:r>
        <w:rPr>
          <w:rFonts w:hint="default" w:ascii="仿宋_GB2312" w:hAnsi="仿宋" w:eastAsia="仿宋_GB2312"/>
          <w:color w:val="auto"/>
          <w:sz w:val="32"/>
          <w:szCs w:val="32"/>
          <w:highlight w:val="none"/>
          <w:lang w:eastAsia="zh-CN"/>
        </w:rPr>
        <w:t>测试记录</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3分</w:t>
      </w:r>
      <w:r>
        <w:rPr>
          <w:rFonts w:hint="eastAsia" w:ascii="仿宋_GB2312" w:hAnsi="仿宋" w:eastAsia="仿宋_GB2312"/>
          <w:color w:val="auto"/>
          <w:sz w:val="32"/>
          <w:szCs w:val="32"/>
          <w:highlight w:val="none"/>
          <w:lang w:eastAsia="zh-CN"/>
        </w:rPr>
        <w:t>）；</w:t>
      </w:r>
    </w:p>
    <w:p>
      <w:pPr>
        <w:keepLines w:val="0"/>
        <w:pageBreakBefore w:val="0"/>
        <w:kinsoku/>
        <w:wordWrap/>
        <w:overflowPunct/>
        <w:topLinePunct w:val="0"/>
        <w:autoSpaceDE/>
        <w:autoSpaceDN/>
        <w:bidi w:val="0"/>
        <w:spacing w:line="240" w:lineRule="auto"/>
        <w:ind w:firstLine="640" w:firstLineChars="200"/>
        <w:textAlignment w:val="auto"/>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7.例行监测及达标排放情况（15分）；</w:t>
      </w:r>
    </w:p>
    <w:p>
      <w:pPr>
        <w:keepLines w:val="0"/>
        <w:pageBreakBefore w:val="0"/>
        <w:kinsoku/>
        <w:wordWrap/>
        <w:overflowPunct/>
        <w:topLinePunct w:val="0"/>
        <w:autoSpaceDE/>
        <w:autoSpaceDN/>
        <w:bidi w:val="0"/>
        <w:spacing w:line="240" w:lineRule="auto"/>
        <w:ind w:firstLine="640" w:firstLineChars="200"/>
        <w:textAlignment w:val="auto"/>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（1）按照《江西省农村生活污水处理系统水污染物排放标准（DB36/1102-2019）》，对农村生活污水处理系统排水口规定监测并出具监测报告（8分）；</w:t>
      </w:r>
    </w:p>
    <w:p>
      <w:pPr>
        <w:pStyle w:val="2"/>
        <w:keepLines w:val="0"/>
        <w:pageBreakBefore w:val="0"/>
        <w:kinsoku/>
        <w:wordWrap/>
        <w:overflowPunct/>
        <w:topLinePunct w:val="0"/>
        <w:autoSpaceDE/>
        <w:autoSpaceDN/>
        <w:bidi w:val="0"/>
        <w:spacing w:line="240" w:lineRule="auto"/>
        <w:ind w:firstLine="642"/>
        <w:textAlignment w:val="auto"/>
        <w:rPr>
          <w:rFonts w:hint="eastAsia" w:ascii="仿宋_GB2312" w:hAnsi="仿宋" w:eastAsia="仿宋_GB2312"/>
          <w:color w:val="auto"/>
          <w:sz w:val="32"/>
          <w:szCs w:val="32"/>
          <w:highlight w:val="none"/>
          <w:lang w:val="en-US" w:eastAsia="zh-CN"/>
        </w:rPr>
      </w:pPr>
      <w:r>
        <w:rPr>
          <w:rFonts w:hint="eastAsia" w:ascii="仿宋_GB2312" w:hAnsi="仿宋" w:eastAsia="仿宋_GB2312"/>
          <w:b w:val="0"/>
          <w:bCs/>
          <w:color w:val="auto"/>
          <w:sz w:val="32"/>
          <w:szCs w:val="32"/>
          <w:highlight w:val="none"/>
          <w:lang w:val="en-US" w:eastAsia="zh-CN"/>
        </w:rPr>
        <w:t>（2）污水处理设施达标排放（7分）。</w:t>
      </w:r>
    </w:p>
    <w:p>
      <w:pPr>
        <w:spacing w:line="240" w:lineRule="auto"/>
        <w:ind w:firstLine="960" w:firstLineChars="300"/>
        <w:rPr>
          <w:rFonts w:hint="eastAsia" w:ascii="黑体" w:hAnsi="黑体" w:eastAsia="黑体" w:cs="黑体"/>
          <w:b/>
          <w:bCs/>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8.区级抽查情况（20分）。</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五、考核程序</w:t>
      </w:r>
    </w:p>
    <w:p>
      <w:pPr>
        <w:spacing w:line="240" w:lineRule="auto"/>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s="Times New Roman"/>
          <w:color w:val="auto"/>
          <w:sz w:val="32"/>
          <w:szCs w:val="32"/>
          <w:highlight w:val="none"/>
          <w:lang w:val="en-US" w:eastAsia="zh-CN"/>
        </w:rPr>
        <w:t>1.</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 w:eastAsia="仿宋_GB2312" w:cs="Times New Roman"/>
          <w:color w:val="auto"/>
          <w:sz w:val="32"/>
          <w:szCs w:val="32"/>
          <w:highlight w:val="none"/>
          <w:lang w:val="en-US" w:eastAsia="zh-CN"/>
        </w:rPr>
        <w:t>人民政府</w:t>
      </w:r>
      <w:r>
        <w:rPr>
          <w:rFonts w:hint="eastAsia" w:ascii="仿宋_GB2312" w:hAnsi="仿宋" w:eastAsia="仿宋_GB2312"/>
          <w:color w:val="auto"/>
          <w:sz w:val="32"/>
          <w:szCs w:val="32"/>
          <w:highlight w:val="none"/>
        </w:rPr>
        <w:t>根据考核要求，提前对当年度工作情况进行自查</w:t>
      </w:r>
      <w:r>
        <w:rPr>
          <w:rFonts w:hint="eastAsia" w:ascii="仿宋_GB2312" w:hAnsi="仿宋" w:eastAsia="仿宋_GB2312"/>
          <w:color w:val="auto"/>
          <w:sz w:val="32"/>
          <w:szCs w:val="32"/>
          <w:highlight w:val="none"/>
          <w:lang w:eastAsia="zh-CN"/>
        </w:rPr>
        <w:t>形成自查报告</w:t>
      </w:r>
      <w:r>
        <w:rPr>
          <w:rFonts w:hint="eastAsia" w:ascii="仿宋_GB2312" w:hAnsi="仿宋" w:eastAsia="仿宋_GB2312"/>
          <w:color w:val="auto"/>
          <w:sz w:val="32"/>
          <w:szCs w:val="32"/>
          <w:highlight w:val="none"/>
        </w:rPr>
        <w:t>，并在</w:t>
      </w:r>
      <w:r>
        <w:rPr>
          <w:rFonts w:hint="eastAsia" w:ascii="仿宋_GB2312" w:hAnsi="仿宋" w:eastAsia="仿宋_GB2312" w:cs="Times New Roman"/>
          <w:color w:val="auto"/>
          <w:sz w:val="32"/>
          <w:szCs w:val="32"/>
          <w:highlight w:val="none"/>
          <w:lang w:val="en-US" w:eastAsia="zh-CN"/>
        </w:rPr>
        <w:t>每年</w:t>
      </w:r>
      <w:r>
        <w:rPr>
          <w:rFonts w:hint="eastAsia" w:ascii="仿宋_GB2312" w:hAnsi="仿宋" w:eastAsia="仿宋_GB2312"/>
          <w:color w:val="auto"/>
          <w:sz w:val="32"/>
          <w:szCs w:val="32"/>
          <w:highlight w:val="none"/>
        </w:rPr>
        <w:t>1</w:t>
      </w:r>
      <w:r>
        <w:rPr>
          <w:rFonts w:hint="eastAsia" w:ascii="仿宋_GB2312" w:hAnsi="仿宋" w:eastAsia="仿宋_GB2312" w:cs="Times New Roman"/>
          <w:color w:val="auto"/>
          <w:sz w:val="32"/>
          <w:szCs w:val="32"/>
          <w:highlight w:val="none"/>
          <w:lang w:eastAsia="zh-CN"/>
        </w:rPr>
        <w:t>1</w:t>
      </w:r>
      <w:r>
        <w:rPr>
          <w:rFonts w:hint="eastAsia" w:ascii="仿宋_GB2312" w:hAnsi="仿宋" w:eastAsia="仿宋_GB2312"/>
          <w:color w:val="auto"/>
          <w:sz w:val="32"/>
          <w:szCs w:val="32"/>
          <w:highlight w:val="none"/>
        </w:rPr>
        <w:t>月</w:t>
      </w:r>
      <w:r>
        <w:rPr>
          <w:rFonts w:hint="eastAsia" w:ascii="仿宋_GB2312" w:hAnsi="仿宋" w:eastAsia="仿宋_GB2312"/>
          <w:color w:val="auto"/>
          <w:sz w:val="32"/>
          <w:szCs w:val="32"/>
          <w:highlight w:val="none"/>
          <w:lang w:val="en-US" w:eastAsia="zh-CN"/>
        </w:rPr>
        <w:t>1</w:t>
      </w:r>
      <w:r>
        <w:rPr>
          <w:rFonts w:hint="eastAsia" w:ascii="仿宋_GB2312" w:hAnsi="仿宋" w:eastAsia="仿宋_GB2312" w:cs="Times New Roman"/>
          <w:color w:val="auto"/>
          <w:sz w:val="32"/>
          <w:szCs w:val="32"/>
          <w:highlight w:val="none"/>
          <w:lang w:val="en-US" w:eastAsia="zh-CN"/>
        </w:rPr>
        <w:t>5</w:t>
      </w:r>
      <w:r>
        <w:rPr>
          <w:rFonts w:hint="eastAsia" w:ascii="仿宋_GB2312" w:hAnsi="仿宋" w:eastAsia="仿宋_GB2312"/>
          <w:color w:val="auto"/>
          <w:sz w:val="32"/>
          <w:szCs w:val="32"/>
          <w:highlight w:val="none"/>
        </w:rPr>
        <w:t>日前上报相关材料。</w:t>
      </w:r>
    </w:p>
    <w:p>
      <w:pPr>
        <w:spacing w:line="240" w:lineRule="auto"/>
        <w:ind w:firstLine="640" w:firstLineChars="200"/>
        <w:rPr>
          <w:rFonts w:hint="eastAsia" w:ascii="仿宋_GB2312" w:hAnsi="仿宋" w:eastAsia="仿宋_GB2312" w:cs="Times New Roman"/>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2.红谷滩生态环境局联合区农业农村局等部门对</w:t>
      </w:r>
      <w:r>
        <w:rPr>
          <w:rFonts w:hint="eastAsia" w:ascii="仿宋" w:hAnsi="仿宋" w:eastAsia="仿宋" w:cs="仿宋"/>
          <w:color w:val="auto"/>
          <w:sz w:val="32"/>
          <w:szCs w:val="32"/>
          <w:highlight w:val="none"/>
        </w:rPr>
        <w:t>各镇</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街道</w:t>
      </w:r>
      <w:r>
        <w:rPr>
          <w:rFonts w:hint="eastAsia" w:ascii="仿宋" w:hAnsi="仿宋" w:eastAsia="仿宋" w:cs="仿宋"/>
          <w:color w:val="auto"/>
          <w:sz w:val="32"/>
          <w:szCs w:val="32"/>
          <w:highlight w:val="none"/>
          <w:lang w:eastAsia="zh-CN"/>
        </w:rPr>
        <w:t>）</w:t>
      </w:r>
      <w:r>
        <w:rPr>
          <w:rFonts w:hint="eastAsia" w:ascii="仿宋_GB2312" w:hAnsi="仿宋" w:eastAsia="仿宋_GB2312" w:cs="Times New Roman"/>
          <w:color w:val="auto"/>
          <w:sz w:val="32"/>
          <w:szCs w:val="32"/>
          <w:highlight w:val="none"/>
          <w:lang w:val="en-US" w:eastAsia="zh-CN"/>
        </w:rPr>
        <w:t>进行农村污水处理系统进行抽检。</w:t>
      </w:r>
    </w:p>
    <w:p>
      <w:pPr>
        <w:keepNext w:val="0"/>
        <w:keepLines w:val="0"/>
        <w:pageBreakBefore w:val="0"/>
        <w:widowControl w:val="0"/>
        <w:kinsoku/>
        <w:wordWrap/>
        <w:overflowPunct/>
        <w:topLinePunct w:val="0"/>
        <w:autoSpaceDE/>
        <w:autoSpaceDN/>
        <w:bidi w:val="0"/>
        <w:spacing w:line="240" w:lineRule="auto"/>
        <w:ind w:firstLine="643"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六、考核原则及结果运用</w:t>
      </w:r>
    </w:p>
    <w:p>
      <w:pPr>
        <w:pStyle w:val="3"/>
        <w:ind w:firstLine="640" w:firstLineChars="200"/>
        <w:rPr>
          <w:rFonts w:hint="eastAsia" w:ascii="仿宋_GB2312" w:hAnsi="仿宋" w:eastAsia="仿宋_GB2312" w:cs="Times New Roman"/>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考核秉承客观公正、公平公开的原则，所有得扣分内容均留存文字、影像等资料作为依据。</w:t>
      </w:r>
    </w:p>
    <w:p>
      <w:pPr>
        <w:pStyle w:val="3"/>
        <w:ind w:firstLine="640" w:firstLineChars="200"/>
        <w:rPr>
          <w:rFonts w:hint="default" w:ascii="仿宋_GB2312" w:hAnsi="仿宋" w:eastAsia="仿宋_GB2312" w:cs="Times New Roman"/>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考核结果运用于第三方运维服务费的计算，考核综合成绩70分以下视为不及格。</w:t>
      </w:r>
    </w:p>
    <w:p>
      <w:pPr>
        <w:pStyle w:val="3"/>
        <w:ind w:firstLine="640" w:firstLineChars="200"/>
        <w:rPr>
          <w:rFonts w:hint="eastAsia" w:ascii="仿宋_GB2312" w:hAnsi="仿宋" w:eastAsia="仿宋_GB2312" w:cs="Times New Roman"/>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区农业农村局根据各乡镇（街道）考核成绩分别拨付第三方专业运维单位运维服务费。</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mNTA4ZWMyMmM3NjI1YmQ1MzY5ODc2NjA3YzJkZmIifQ=="/>
    <w:docVar w:name="KSO_WPS_MARK_KEY" w:val="2b9286f1-4434-41d9-badc-7655259dbcff"/>
  </w:docVars>
  <w:rsids>
    <w:rsidRoot w:val="310234A2"/>
    <w:rsid w:val="31023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pPr>
      <w:adjustRightInd/>
      <w:spacing w:line="240" w:lineRule="auto"/>
      <w:textAlignment w:val="auto"/>
    </w:pPr>
    <w:rPr>
      <w:rFonts w:ascii="宋体" w:hAnsi="Courier New" w:cs="Courier New"/>
      <w:kern w:val="2"/>
      <w:szCs w:val="21"/>
    </w:rPr>
  </w:style>
  <w:style w:type="paragraph" w:styleId="6">
    <w:name w:val="List Paragraph"/>
    <w:basedOn w:val="1"/>
    <w:qFormat/>
    <w:uiPriority w:val="99"/>
    <w:pPr>
      <w:ind w:firstLine="420" w:firstLineChars="200"/>
    </w:pPr>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2025-02-25T02:03:00Z</dcterms:created>
  <dc:creator>L</dc:creator>
  <cp:lastModifiedBy>L</cp:lastModifiedBy>
  <dcterms:modified xsi:type="dcterms:W3CDTF">2025-02-25T02:03:45Z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FB3A629074A1415FAE70FD807AEA0670_11</vt:lpwstr>
  </property>
</Properties>
</file>