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DBF017">
      <w:pPr>
        <w:widowControl w:val="0"/>
        <w:wordWrap/>
        <w:spacing w:line="240" w:lineRule="auto"/>
        <w:ind w:firstLine="0" w:firstLineChars="0"/>
        <w:jc w:val="center"/>
        <w:rPr>
          <w:rFonts w:ascii="宋体" w:hAnsi="宋体" w:eastAsia="宋体" w:cs="宋体"/>
          <w:b/>
          <w:color w:val="auto"/>
          <w:sz w:val="56"/>
          <w:szCs w:val="56"/>
          <w:highlight w:val="none"/>
        </w:rPr>
      </w:pPr>
      <w:r>
        <w:rPr>
          <w:rFonts w:hint="eastAsia" w:ascii="宋体" w:hAnsi="宋体" w:eastAsia="宋体" w:cs="宋体"/>
          <w:b/>
          <w:color w:val="auto"/>
          <w:sz w:val="56"/>
          <w:szCs w:val="56"/>
          <w:highlight w:val="none"/>
        </w:rPr>
        <w:t>南昌市红谷滩区畜禽养殖禁养区</w:t>
      </w:r>
    </w:p>
    <w:p w14:paraId="08A5A146">
      <w:pPr>
        <w:widowControl w:val="0"/>
        <w:wordWrap/>
        <w:spacing w:line="240" w:lineRule="auto"/>
        <w:ind w:firstLine="0" w:firstLineChars="0"/>
        <w:jc w:val="center"/>
        <w:rPr>
          <w:rFonts w:hint="eastAsia" w:ascii="宋体" w:hAnsi="宋体" w:eastAsia="宋体" w:cs="宋体"/>
          <w:b/>
          <w:color w:val="auto"/>
          <w:sz w:val="56"/>
          <w:szCs w:val="56"/>
          <w:highlight w:val="none"/>
          <w:lang w:eastAsia="zh-CN"/>
        </w:rPr>
      </w:pPr>
      <w:r>
        <w:rPr>
          <w:rFonts w:hint="eastAsia" w:ascii="宋体" w:hAnsi="宋体" w:eastAsia="宋体" w:cs="宋体"/>
          <w:b/>
          <w:color w:val="auto"/>
          <w:sz w:val="56"/>
          <w:szCs w:val="56"/>
          <w:highlight w:val="none"/>
          <w:lang w:val="en-US" w:eastAsia="zh-CN"/>
        </w:rPr>
        <w:t>划定</w:t>
      </w:r>
      <w:r>
        <w:rPr>
          <w:rFonts w:hint="eastAsia" w:ascii="宋体" w:hAnsi="宋体" w:eastAsia="宋体" w:cs="宋体"/>
          <w:b/>
          <w:color w:val="auto"/>
          <w:sz w:val="56"/>
          <w:szCs w:val="56"/>
          <w:highlight w:val="none"/>
        </w:rPr>
        <w:t>方案</w:t>
      </w:r>
      <w:r>
        <w:rPr>
          <w:rFonts w:hint="eastAsia" w:ascii="宋体" w:hAnsi="宋体" w:eastAsia="宋体" w:cs="宋体"/>
          <w:b/>
          <w:color w:val="auto"/>
          <w:sz w:val="56"/>
          <w:szCs w:val="56"/>
          <w:highlight w:val="none"/>
          <w:lang w:eastAsia="zh-CN"/>
        </w:rPr>
        <w:t>（</w:t>
      </w:r>
      <w:r>
        <w:rPr>
          <w:rFonts w:hint="eastAsia" w:ascii="宋体" w:hAnsi="宋体" w:eastAsia="宋体" w:cs="宋体"/>
          <w:b/>
          <w:color w:val="auto"/>
          <w:sz w:val="56"/>
          <w:szCs w:val="56"/>
          <w:highlight w:val="none"/>
          <w:lang w:val="en-US" w:eastAsia="zh-CN"/>
        </w:rPr>
        <w:t>征求意见稿</w:t>
      </w:r>
      <w:r>
        <w:rPr>
          <w:rFonts w:hint="eastAsia" w:ascii="宋体" w:hAnsi="宋体" w:eastAsia="宋体" w:cs="宋体"/>
          <w:b/>
          <w:color w:val="auto"/>
          <w:sz w:val="56"/>
          <w:szCs w:val="56"/>
          <w:highlight w:val="none"/>
          <w:lang w:eastAsia="zh-CN"/>
        </w:rPr>
        <w:t>）</w:t>
      </w:r>
    </w:p>
    <w:p w14:paraId="780D6F4C">
      <w:pPr>
        <w:pStyle w:val="6"/>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jc w:val="both"/>
        <w:rPr>
          <w:rFonts w:hint="eastAsia" w:ascii="仿宋" w:hAnsi="仿宋" w:eastAsia="仿宋" w:cs="仿宋"/>
          <w:b/>
          <w:bCs/>
          <w:i w:val="0"/>
          <w:iCs w:val="0"/>
          <w:caps w:val="0"/>
          <w:color w:val="525353"/>
          <w:spacing w:val="0"/>
          <w:sz w:val="32"/>
          <w:szCs w:val="32"/>
          <w:bdr w:val="none" w:color="auto" w:sz="0" w:space="0"/>
          <w:shd w:val="clear" w:fill="FFFFFF"/>
          <w:lang w:val="en-US" w:eastAsia="zh-CN"/>
        </w:rPr>
      </w:pPr>
      <w:r>
        <w:rPr>
          <w:rFonts w:hint="eastAsia" w:ascii="仿宋" w:hAnsi="仿宋" w:eastAsia="仿宋" w:cs="仿宋"/>
          <w:b/>
          <w:bCs/>
          <w:i w:val="0"/>
          <w:iCs w:val="0"/>
          <w:caps w:val="0"/>
          <w:color w:val="525353"/>
          <w:spacing w:val="0"/>
          <w:sz w:val="32"/>
          <w:szCs w:val="32"/>
          <w:bdr w:val="none" w:color="auto" w:sz="0" w:space="0"/>
          <w:shd w:val="clear" w:fill="FFFFFF"/>
          <w:lang w:val="en-US" w:eastAsia="zh-CN"/>
        </w:rPr>
        <w:t>指导思想</w:t>
      </w:r>
    </w:p>
    <w:p w14:paraId="6B66852B">
      <w:pPr>
        <w:ind w:firstLine="560"/>
        <w:rPr>
          <w:color w:val="auto"/>
          <w:sz w:val="28"/>
          <w:szCs w:val="21"/>
          <w:highlight w:val="none"/>
        </w:rPr>
      </w:pPr>
      <w:r>
        <w:rPr>
          <w:color w:val="auto"/>
          <w:sz w:val="28"/>
          <w:szCs w:val="21"/>
          <w:highlight w:val="none"/>
        </w:rPr>
        <w:t>全面贯彻落实《中华人民共和国环境保护法》《中华人民共和国水污染防治法》《畜禽规模养殖污染防治条例》等法律法规要求，紧扣国家、省、市关于畜禽养殖污染防治和</w:t>
      </w:r>
      <w:r>
        <w:rPr>
          <w:rFonts w:hint="eastAsia"/>
          <w:color w:val="auto"/>
          <w:sz w:val="28"/>
          <w:szCs w:val="21"/>
          <w:highlight w:val="none"/>
          <w:lang w:val="en-US" w:eastAsia="zh-CN"/>
        </w:rPr>
        <w:t>持续改善</w:t>
      </w:r>
      <w:r>
        <w:rPr>
          <w:color w:val="auto"/>
          <w:sz w:val="28"/>
          <w:szCs w:val="21"/>
          <w:highlight w:val="none"/>
        </w:rPr>
        <w:t>生态环境的工作部署，立足红谷滩区作为南昌市现代化核心城区的功能定位，以保障饮用水源安全、维护生态环境质量、消除公共交通安全隐患为核心目标</w:t>
      </w:r>
      <w:r>
        <w:rPr>
          <w:rFonts w:hint="eastAsia"/>
          <w:color w:val="auto"/>
          <w:sz w:val="28"/>
          <w:szCs w:val="21"/>
          <w:highlight w:val="none"/>
        </w:rPr>
        <w:t>。</w:t>
      </w:r>
      <w:r>
        <w:rPr>
          <w:color w:val="auto"/>
          <w:sz w:val="28"/>
          <w:szCs w:val="21"/>
          <w:highlight w:val="none"/>
        </w:rPr>
        <w:t>坚持统筹兼顾、标本兼治，将禁养区划定与</w:t>
      </w:r>
      <w:r>
        <w:rPr>
          <w:rFonts w:hint="eastAsia"/>
          <w:color w:val="auto"/>
          <w:sz w:val="28"/>
          <w:szCs w:val="21"/>
          <w:highlight w:val="none"/>
          <w:lang w:val="en-US" w:eastAsia="zh-CN"/>
        </w:rPr>
        <w:t>红谷滩区</w:t>
      </w:r>
      <w:r>
        <w:rPr>
          <w:color w:val="auto"/>
          <w:sz w:val="28"/>
          <w:szCs w:val="21"/>
          <w:highlight w:val="none"/>
        </w:rPr>
        <w:t>发展规划、生态保护红线、水环境功能区划深度融合，科学划定禁养区范围；坚持疏堵结合、以人为本，在严格管控违规养殖行为的同时，落实退养政策，引导养殖户有序转型；坚持属地负责、部门联动，构建权责清晰、协同高效的禁养区管理机制，推动畜禽养殖污染防治从集中整治向常态化、精细化管控转变，实现生态环境保护、城市发展与群众合法权益保障的有机统一，为</w:t>
      </w:r>
      <w:r>
        <w:rPr>
          <w:rFonts w:hint="eastAsia"/>
          <w:color w:val="auto"/>
          <w:sz w:val="28"/>
          <w:szCs w:val="21"/>
          <w:highlight w:val="none"/>
          <w:lang w:val="en-US" w:eastAsia="zh-CN"/>
        </w:rPr>
        <w:t>红谷滩区</w:t>
      </w:r>
      <w:r>
        <w:rPr>
          <w:color w:val="auto"/>
          <w:sz w:val="28"/>
          <w:szCs w:val="21"/>
          <w:highlight w:val="none"/>
        </w:rPr>
        <w:t>建设宜居宜业的现代化核心城区筑牢生态屏障。</w:t>
      </w:r>
    </w:p>
    <w:p w14:paraId="7C97ED87">
      <w:pPr>
        <w:pStyle w:val="6"/>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leftChars="0" w:right="0" w:firstLine="643" w:firstLineChars="200"/>
        <w:jc w:val="both"/>
        <w:rPr>
          <w:rFonts w:hint="eastAsia" w:ascii="仿宋" w:hAnsi="仿宋" w:eastAsia="仿宋" w:cs="仿宋"/>
          <w:b/>
          <w:bCs/>
          <w:i w:val="0"/>
          <w:iCs w:val="0"/>
          <w:caps w:val="0"/>
          <w:color w:val="525353"/>
          <w:spacing w:val="0"/>
          <w:sz w:val="32"/>
          <w:szCs w:val="32"/>
          <w:bdr w:val="none" w:color="auto" w:sz="0" w:space="0"/>
          <w:shd w:val="clear" w:fill="FFFFFF"/>
        </w:rPr>
      </w:pPr>
      <w:r>
        <w:rPr>
          <w:rFonts w:hint="eastAsia" w:ascii="仿宋" w:hAnsi="仿宋" w:eastAsia="仿宋" w:cs="仿宋"/>
          <w:b/>
          <w:bCs/>
          <w:i w:val="0"/>
          <w:iCs w:val="0"/>
          <w:caps w:val="0"/>
          <w:color w:val="525353"/>
          <w:spacing w:val="0"/>
          <w:sz w:val="32"/>
          <w:szCs w:val="32"/>
          <w:bdr w:val="none" w:color="auto" w:sz="0" w:space="0"/>
          <w:shd w:val="clear" w:fill="FFFFFF"/>
        </w:rPr>
        <w:t>划定原则</w:t>
      </w:r>
    </w:p>
    <w:p w14:paraId="014019F2">
      <w:pPr>
        <w:ind w:firstLine="602"/>
        <w:rPr>
          <w:b/>
          <w:bCs/>
          <w:color w:val="auto"/>
          <w:highlight w:val="none"/>
        </w:rPr>
      </w:pPr>
      <w:r>
        <w:rPr>
          <w:rFonts w:hint="eastAsia"/>
          <w:b/>
          <w:bCs/>
          <w:color w:val="auto"/>
          <w:highlight w:val="none"/>
        </w:rPr>
        <w:t>（1）</w:t>
      </w:r>
      <w:r>
        <w:rPr>
          <w:b/>
          <w:bCs/>
          <w:color w:val="auto"/>
          <w:highlight w:val="none"/>
        </w:rPr>
        <w:t>依法依规，生态优先</w:t>
      </w:r>
    </w:p>
    <w:p w14:paraId="78ED4C4F">
      <w:pPr>
        <w:ind w:firstLine="560"/>
        <w:rPr>
          <w:color w:val="auto"/>
          <w:sz w:val="28"/>
          <w:szCs w:val="21"/>
          <w:highlight w:val="none"/>
        </w:rPr>
      </w:pPr>
      <w:r>
        <w:rPr>
          <w:color w:val="auto"/>
          <w:sz w:val="28"/>
          <w:szCs w:val="21"/>
          <w:highlight w:val="none"/>
        </w:rPr>
        <w:t>严格遵循国家《畜禽养殖禁养区划定技术指南》《畜禽养殖污染防治规划编制指南（试行）》及江西省、南昌市相关法律法规和技术规范，以生态保护红线、饮用水水源保护区、风景名胜区、</w:t>
      </w:r>
      <w:r>
        <w:rPr>
          <w:rFonts w:hint="default"/>
          <w:color w:val="auto"/>
          <w:sz w:val="28"/>
          <w:szCs w:val="21"/>
          <w:highlight w:val="none"/>
          <w:lang w:val="en-US"/>
        </w:rPr>
        <w:t>城镇居民区和文化教育科学研究区</w:t>
      </w:r>
      <w:r>
        <w:rPr>
          <w:color w:val="auto"/>
          <w:sz w:val="28"/>
          <w:szCs w:val="21"/>
          <w:highlight w:val="none"/>
        </w:rPr>
        <w:t>等生态敏感区域为核心，将生态环境安全作为禁养区划定的首要原则，严禁在生态敏感区域开展</w:t>
      </w:r>
      <w:r>
        <w:rPr>
          <w:rFonts w:hint="eastAsia"/>
          <w:color w:val="auto"/>
          <w:sz w:val="28"/>
          <w:szCs w:val="21"/>
          <w:highlight w:val="none"/>
          <w:lang w:val="en-US" w:eastAsia="zh-CN"/>
        </w:rPr>
        <w:t>规模化</w:t>
      </w:r>
      <w:r>
        <w:rPr>
          <w:color w:val="auto"/>
          <w:sz w:val="28"/>
          <w:szCs w:val="21"/>
          <w:highlight w:val="none"/>
        </w:rPr>
        <w:t>畜禽养殖活动，切实保障区域生态环境质量。</w:t>
      </w:r>
    </w:p>
    <w:p w14:paraId="4173385A">
      <w:pPr>
        <w:ind w:firstLine="602"/>
        <w:rPr>
          <w:b/>
          <w:bCs/>
          <w:color w:val="auto"/>
          <w:highlight w:val="none"/>
        </w:rPr>
      </w:pPr>
      <w:r>
        <w:rPr>
          <w:b/>
          <w:bCs/>
          <w:color w:val="auto"/>
          <w:highlight w:val="none"/>
        </w:rPr>
        <w:t>（</w:t>
      </w:r>
      <w:r>
        <w:rPr>
          <w:rFonts w:hint="eastAsia"/>
          <w:b/>
          <w:bCs/>
          <w:color w:val="auto"/>
          <w:highlight w:val="none"/>
        </w:rPr>
        <w:t>2</w:t>
      </w:r>
      <w:r>
        <w:rPr>
          <w:b/>
          <w:bCs/>
          <w:color w:val="auto"/>
          <w:highlight w:val="none"/>
        </w:rPr>
        <w:t>）动态适配，城乡融合</w:t>
      </w:r>
    </w:p>
    <w:p w14:paraId="496963D8">
      <w:pPr>
        <w:ind w:firstLine="560"/>
        <w:rPr>
          <w:color w:val="auto"/>
          <w:sz w:val="28"/>
          <w:szCs w:val="21"/>
          <w:highlight w:val="none"/>
        </w:rPr>
      </w:pPr>
      <w:r>
        <w:rPr>
          <w:color w:val="auto"/>
          <w:sz w:val="28"/>
          <w:szCs w:val="21"/>
          <w:highlight w:val="none"/>
        </w:rPr>
        <w:t>结合我区城市化进程快速推进的实际情况，对标城市功能定位和发展规划，对原有禁养区、限养区范围进行动态优化，将已纳入</w:t>
      </w:r>
      <w:r>
        <w:rPr>
          <w:rFonts w:hint="eastAsia"/>
          <w:color w:val="auto"/>
          <w:sz w:val="28"/>
          <w:szCs w:val="21"/>
          <w:highlight w:val="none"/>
          <w:lang w:val="en-US" w:eastAsia="zh-CN"/>
        </w:rPr>
        <w:t>饮用水源保护区、城镇居民区和文化教育科学研究区</w:t>
      </w:r>
      <w:r>
        <w:rPr>
          <w:color w:val="auto"/>
          <w:sz w:val="28"/>
          <w:szCs w:val="21"/>
          <w:highlight w:val="none"/>
        </w:rPr>
        <w:t>等不适宜养殖的区域依法纳入禁养区</w:t>
      </w:r>
      <w:r>
        <w:rPr>
          <w:rFonts w:hint="eastAsia"/>
          <w:color w:val="auto"/>
          <w:sz w:val="28"/>
          <w:szCs w:val="21"/>
          <w:highlight w:val="none"/>
          <w:lang w:val="en-US" w:eastAsia="zh-CN"/>
        </w:rPr>
        <w:t>范围</w:t>
      </w:r>
      <w:r>
        <w:rPr>
          <w:color w:val="auto"/>
          <w:sz w:val="28"/>
          <w:szCs w:val="21"/>
          <w:highlight w:val="none"/>
        </w:rPr>
        <w:t>，实现禁养区划定与城乡发展布局的深度适配，推动养殖产业与城市发展相协调。</w:t>
      </w:r>
    </w:p>
    <w:p w14:paraId="1A5E7432">
      <w:pPr>
        <w:ind w:firstLine="602"/>
        <w:rPr>
          <w:b/>
          <w:bCs/>
          <w:color w:val="auto"/>
          <w:highlight w:val="none"/>
        </w:rPr>
      </w:pPr>
      <w:r>
        <w:rPr>
          <w:b/>
          <w:bCs/>
          <w:color w:val="auto"/>
          <w:highlight w:val="none"/>
        </w:rPr>
        <w:t>（</w:t>
      </w:r>
      <w:r>
        <w:rPr>
          <w:rFonts w:hint="eastAsia"/>
          <w:b/>
          <w:bCs/>
          <w:color w:val="auto"/>
          <w:highlight w:val="none"/>
        </w:rPr>
        <w:t>3</w:t>
      </w:r>
      <w:r>
        <w:rPr>
          <w:b/>
          <w:bCs/>
          <w:color w:val="auto"/>
          <w:highlight w:val="none"/>
        </w:rPr>
        <w:t>）科学精准，刚性管控</w:t>
      </w:r>
    </w:p>
    <w:p w14:paraId="3F6212CD">
      <w:pPr>
        <w:ind w:firstLine="560"/>
        <w:rPr>
          <w:color w:val="auto"/>
          <w:sz w:val="28"/>
          <w:szCs w:val="21"/>
          <w:highlight w:val="none"/>
        </w:rPr>
      </w:pPr>
      <w:r>
        <w:rPr>
          <w:color w:val="auto"/>
          <w:sz w:val="28"/>
          <w:szCs w:val="21"/>
          <w:highlight w:val="none"/>
        </w:rPr>
        <w:t>立足我区畜禽养殖底数和分布特点，科学核定禁养区边界，明确划定范围和管控要求，做到划定精准、管控刚性。对禁养区实行严格的养殖管控，严禁新建、扩建、改建各类畜禽养殖场，对现有违规养殖行为限期完成关停、转产或搬迁，确保管控要求落地见效。</w:t>
      </w:r>
    </w:p>
    <w:p w14:paraId="2C35E538">
      <w:pPr>
        <w:ind w:firstLine="602"/>
        <w:rPr>
          <w:b/>
          <w:bCs/>
          <w:color w:val="auto"/>
          <w:highlight w:val="none"/>
        </w:rPr>
      </w:pPr>
      <w:r>
        <w:rPr>
          <w:b/>
          <w:bCs/>
          <w:color w:val="auto"/>
          <w:highlight w:val="none"/>
        </w:rPr>
        <w:t>（</w:t>
      </w:r>
      <w:r>
        <w:rPr>
          <w:rFonts w:hint="eastAsia"/>
          <w:b/>
          <w:bCs/>
          <w:color w:val="auto"/>
          <w:highlight w:val="none"/>
          <w:lang w:val="en-US" w:eastAsia="zh-CN"/>
        </w:rPr>
        <w:t>4</w:t>
      </w:r>
      <w:r>
        <w:rPr>
          <w:b/>
          <w:bCs/>
          <w:color w:val="auto"/>
          <w:highlight w:val="none"/>
        </w:rPr>
        <w:t>）统筹兼顾，协调发展</w:t>
      </w:r>
    </w:p>
    <w:p w14:paraId="5C11E80B">
      <w:pPr>
        <w:ind w:firstLine="560"/>
        <w:rPr>
          <w:rFonts w:hint="eastAsia" w:ascii="仿宋" w:hAnsi="仿宋" w:eastAsia="仿宋" w:cs="仿宋"/>
          <w:b/>
          <w:bCs/>
          <w:i w:val="0"/>
          <w:iCs w:val="0"/>
          <w:caps w:val="0"/>
          <w:color w:val="525353"/>
          <w:spacing w:val="0"/>
          <w:sz w:val="32"/>
          <w:szCs w:val="32"/>
          <w:bdr w:val="none" w:color="auto" w:sz="0" w:space="0"/>
          <w:shd w:val="clear" w:fill="FFFFFF"/>
        </w:rPr>
      </w:pPr>
      <w:r>
        <w:rPr>
          <w:color w:val="auto"/>
          <w:sz w:val="28"/>
          <w:szCs w:val="21"/>
          <w:highlight w:val="none"/>
        </w:rPr>
        <w:t>兼顾生态环境保护与畜牧业高质量发展的双重需求，在严控禁养区养殖活动的同时，结合我区实际情况合理保留适度养殖空间，推动畜禽养殖向环境承载力匹配、种养结合的区域转移，引导畜牧业走绿色循环发展之路，实现生态保护与农业产业发展的协调统一。</w:t>
      </w:r>
    </w:p>
    <w:p w14:paraId="52408247">
      <w:pPr>
        <w:pStyle w:val="6"/>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leftChars="0" w:right="0" w:firstLine="643" w:firstLineChars="200"/>
        <w:jc w:val="both"/>
        <w:rPr>
          <w:rFonts w:hint="default" w:ascii="仿宋" w:hAnsi="仿宋" w:eastAsia="仿宋" w:cs="仿宋"/>
          <w:b/>
          <w:bCs/>
          <w:i w:val="0"/>
          <w:iCs w:val="0"/>
          <w:caps w:val="0"/>
          <w:color w:val="525353"/>
          <w:spacing w:val="0"/>
          <w:sz w:val="32"/>
          <w:szCs w:val="32"/>
          <w:bdr w:val="none" w:color="auto" w:sz="0" w:space="0"/>
          <w:shd w:val="clear" w:fill="FFFFFF"/>
        </w:rPr>
      </w:pPr>
      <w:r>
        <w:rPr>
          <w:rFonts w:hint="eastAsia" w:ascii="仿宋" w:hAnsi="仿宋" w:eastAsia="仿宋" w:cs="仿宋"/>
          <w:b/>
          <w:bCs/>
          <w:i w:val="0"/>
          <w:iCs w:val="0"/>
          <w:caps w:val="0"/>
          <w:color w:val="525353"/>
          <w:spacing w:val="0"/>
          <w:sz w:val="32"/>
          <w:szCs w:val="32"/>
          <w:bdr w:val="none" w:color="auto" w:sz="0" w:space="0"/>
          <w:shd w:val="clear" w:fill="FFFFFF"/>
          <w:lang w:val="en-US" w:eastAsia="zh-CN"/>
        </w:rPr>
        <w:t>划定依据</w:t>
      </w:r>
    </w:p>
    <w:p w14:paraId="4ACB4B00">
      <w:pPr>
        <w:ind w:firstLine="602"/>
        <w:rPr>
          <w:b/>
          <w:bCs/>
          <w:color w:val="auto"/>
          <w:highlight w:val="none"/>
        </w:rPr>
      </w:pPr>
      <w:r>
        <w:rPr>
          <w:b/>
          <w:bCs/>
          <w:color w:val="auto"/>
          <w:highlight w:val="none"/>
        </w:rPr>
        <w:t>1.法律法规</w:t>
      </w:r>
    </w:p>
    <w:p w14:paraId="4C626C1E">
      <w:pPr>
        <w:ind w:firstLine="560"/>
        <w:rPr>
          <w:color w:val="auto"/>
          <w:sz w:val="28"/>
          <w:szCs w:val="21"/>
          <w:highlight w:val="none"/>
        </w:rPr>
      </w:pPr>
      <w:r>
        <w:rPr>
          <w:color w:val="auto"/>
          <w:sz w:val="28"/>
          <w:szCs w:val="21"/>
          <w:highlight w:val="none"/>
        </w:rPr>
        <w:t>（1）《中华人民共和国环境保护法》（2014年修订）</w:t>
      </w:r>
    </w:p>
    <w:p w14:paraId="7251B35D">
      <w:pPr>
        <w:ind w:firstLine="560"/>
        <w:rPr>
          <w:color w:val="auto"/>
          <w:sz w:val="28"/>
          <w:szCs w:val="21"/>
          <w:highlight w:val="none"/>
        </w:rPr>
      </w:pPr>
      <w:r>
        <w:rPr>
          <w:color w:val="auto"/>
          <w:sz w:val="28"/>
          <w:szCs w:val="21"/>
          <w:highlight w:val="none"/>
        </w:rPr>
        <w:t>（2）《中华人民共和国畜牧法》（2022年修订）</w:t>
      </w:r>
    </w:p>
    <w:p w14:paraId="302C5BCB">
      <w:pPr>
        <w:ind w:firstLine="560"/>
        <w:rPr>
          <w:color w:val="auto"/>
          <w:sz w:val="28"/>
          <w:szCs w:val="21"/>
          <w:highlight w:val="none"/>
        </w:rPr>
      </w:pPr>
      <w:r>
        <w:rPr>
          <w:color w:val="auto"/>
          <w:sz w:val="28"/>
          <w:szCs w:val="21"/>
          <w:highlight w:val="none"/>
        </w:rPr>
        <w:t>（3）《中华人民共和国水污染防治法》（2017年修订）</w:t>
      </w:r>
    </w:p>
    <w:p w14:paraId="66E73F5D">
      <w:pPr>
        <w:ind w:firstLine="560"/>
        <w:rPr>
          <w:color w:val="auto"/>
          <w:sz w:val="28"/>
          <w:szCs w:val="21"/>
          <w:highlight w:val="none"/>
        </w:rPr>
      </w:pPr>
      <w:r>
        <w:rPr>
          <w:color w:val="auto"/>
          <w:sz w:val="28"/>
          <w:szCs w:val="21"/>
          <w:highlight w:val="none"/>
        </w:rPr>
        <w:t>（4）《中华人民共和国大气污染防治法》</w:t>
      </w:r>
      <w:r>
        <w:rPr>
          <w:color w:val="auto"/>
          <w:w w:val="99"/>
          <w:sz w:val="28"/>
          <w:szCs w:val="21"/>
          <w:highlight w:val="none"/>
        </w:rPr>
        <w:t>（2018年修订）</w:t>
      </w:r>
    </w:p>
    <w:p w14:paraId="67EDDAD2">
      <w:pPr>
        <w:ind w:firstLine="560"/>
        <w:rPr>
          <w:color w:val="auto"/>
          <w:sz w:val="28"/>
          <w:szCs w:val="21"/>
          <w:highlight w:val="none"/>
        </w:rPr>
      </w:pPr>
      <w:r>
        <w:rPr>
          <w:rFonts w:hint="eastAsia"/>
          <w:color w:val="auto"/>
          <w:sz w:val="28"/>
          <w:szCs w:val="21"/>
          <w:highlight w:val="none"/>
        </w:rPr>
        <w:t>（5）</w:t>
      </w:r>
      <w:r>
        <w:rPr>
          <w:color w:val="auto"/>
          <w:sz w:val="28"/>
          <w:szCs w:val="21"/>
          <w:highlight w:val="none"/>
        </w:rPr>
        <w:t>《中华人民共和国土壤污染防治法》</w:t>
      </w:r>
      <w:r>
        <w:rPr>
          <w:color w:val="auto"/>
          <w:w w:val="99"/>
          <w:sz w:val="28"/>
          <w:szCs w:val="21"/>
          <w:highlight w:val="none"/>
        </w:rPr>
        <w:t>（2018年</w:t>
      </w:r>
      <w:r>
        <w:rPr>
          <w:rFonts w:hint="eastAsia"/>
          <w:color w:val="auto"/>
          <w:w w:val="99"/>
          <w:sz w:val="28"/>
          <w:szCs w:val="21"/>
          <w:highlight w:val="none"/>
        </w:rPr>
        <w:t>修订</w:t>
      </w:r>
      <w:r>
        <w:rPr>
          <w:color w:val="auto"/>
          <w:w w:val="99"/>
          <w:sz w:val="28"/>
          <w:szCs w:val="21"/>
          <w:highlight w:val="none"/>
        </w:rPr>
        <w:t>）</w:t>
      </w:r>
    </w:p>
    <w:p w14:paraId="7F7A64F2">
      <w:pPr>
        <w:ind w:firstLine="560"/>
        <w:rPr>
          <w:color w:val="auto"/>
          <w:sz w:val="28"/>
          <w:szCs w:val="21"/>
          <w:highlight w:val="none"/>
        </w:rPr>
      </w:pPr>
      <w:r>
        <w:rPr>
          <w:rFonts w:hint="eastAsia"/>
          <w:color w:val="auto"/>
          <w:sz w:val="28"/>
          <w:szCs w:val="21"/>
          <w:highlight w:val="none"/>
        </w:rPr>
        <w:t>（6）</w:t>
      </w:r>
      <w:r>
        <w:rPr>
          <w:color w:val="auto"/>
          <w:sz w:val="28"/>
          <w:szCs w:val="21"/>
          <w:highlight w:val="none"/>
        </w:rPr>
        <w:t>《中华人民共和国固体废物污染环境防治法》（2020年修订）</w:t>
      </w:r>
    </w:p>
    <w:p w14:paraId="3545C335">
      <w:pPr>
        <w:ind w:firstLine="560"/>
        <w:rPr>
          <w:color w:val="auto"/>
          <w:sz w:val="28"/>
          <w:szCs w:val="21"/>
          <w:highlight w:val="none"/>
        </w:rPr>
      </w:pPr>
      <w:r>
        <w:rPr>
          <w:color w:val="auto"/>
          <w:sz w:val="28"/>
          <w:szCs w:val="21"/>
          <w:highlight w:val="none"/>
        </w:rPr>
        <w:t>（</w:t>
      </w:r>
      <w:r>
        <w:rPr>
          <w:rFonts w:hint="eastAsia"/>
          <w:color w:val="auto"/>
          <w:sz w:val="28"/>
          <w:szCs w:val="21"/>
          <w:highlight w:val="none"/>
        </w:rPr>
        <w:t>7</w:t>
      </w:r>
      <w:r>
        <w:rPr>
          <w:color w:val="auto"/>
          <w:sz w:val="28"/>
          <w:szCs w:val="21"/>
          <w:highlight w:val="none"/>
        </w:rPr>
        <w:t>）《中华人民共和国动物防疫法》（2021年修订）</w:t>
      </w:r>
    </w:p>
    <w:p w14:paraId="4DC73770">
      <w:pPr>
        <w:ind w:firstLine="560"/>
        <w:rPr>
          <w:color w:val="auto"/>
          <w:sz w:val="28"/>
          <w:szCs w:val="21"/>
          <w:highlight w:val="none"/>
        </w:rPr>
      </w:pPr>
      <w:r>
        <w:rPr>
          <w:color w:val="auto"/>
          <w:sz w:val="28"/>
          <w:szCs w:val="21"/>
          <w:highlight w:val="none"/>
        </w:rPr>
        <w:t>（</w:t>
      </w:r>
      <w:r>
        <w:rPr>
          <w:rFonts w:hint="eastAsia"/>
          <w:color w:val="auto"/>
          <w:sz w:val="28"/>
          <w:szCs w:val="21"/>
          <w:highlight w:val="none"/>
        </w:rPr>
        <w:t>8</w:t>
      </w:r>
      <w:r>
        <w:rPr>
          <w:color w:val="auto"/>
          <w:sz w:val="28"/>
          <w:szCs w:val="21"/>
          <w:highlight w:val="none"/>
        </w:rPr>
        <w:t>）《中华人民共和国土地管理法》（2020年修订）</w:t>
      </w:r>
    </w:p>
    <w:p w14:paraId="08388DAA">
      <w:pPr>
        <w:ind w:firstLine="560"/>
        <w:rPr>
          <w:color w:val="auto"/>
          <w:sz w:val="28"/>
          <w:szCs w:val="21"/>
          <w:highlight w:val="none"/>
        </w:rPr>
      </w:pPr>
      <w:r>
        <w:rPr>
          <w:color w:val="auto"/>
          <w:sz w:val="28"/>
          <w:szCs w:val="21"/>
          <w:highlight w:val="none"/>
        </w:rPr>
        <w:t>（</w:t>
      </w:r>
      <w:r>
        <w:rPr>
          <w:rFonts w:hint="eastAsia"/>
          <w:color w:val="auto"/>
          <w:sz w:val="28"/>
          <w:szCs w:val="21"/>
          <w:highlight w:val="none"/>
        </w:rPr>
        <w:t>9</w:t>
      </w:r>
      <w:r>
        <w:rPr>
          <w:color w:val="auto"/>
          <w:sz w:val="28"/>
          <w:szCs w:val="21"/>
          <w:highlight w:val="none"/>
        </w:rPr>
        <w:t>）《畜禽规模养殖污染防治条例》（2013年公布）</w:t>
      </w:r>
    </w:p>
    <w:p w14:paraId="09D53990">
      <w:pPr>
        <w:ind w:firstLine="560"/>
        <w:rPr>
          <w:color w:val="auto"/>
          <w:sz w:val="28"/>
          <w:szCs w:val="21"/>
          <w:highlight w:val="none"/>
        </w:rPr>
      </w:pPr>
      <w:r>
        <w:rPr>
          <w:rFonts w:hint="eastAsia"/>
          <w:color w:val="auto"/>
          <w:sz w:val="28"/>
          <w:szCs w:val="21"/>
          <w:highlight w:val="none"/>
        </w:rPr>
        <w:t>（10）</w:t>
      </w:r>
      <w:r>
        <w:rPr>
          <w:color w:val="auto"/>
          <w:sz w:val="28"/>
          <w:szCs w:val="21"/>
          <w:highlight w:val="none"/>
        </w:rPr>
        <w:t>《畜禽养殖污染防治管理办法》（2001年发布）</w:t>
      </w:r>
    </w:p>
    <w:p w14:paraId="08D34079">
      <w:pPr>
        <w:ind w:firstLine="560"/>
        <w:rPr>
          <w:color w:val="auto"/>
          <w:sz w:val="28"/>
          <w:szCs w:val="21"/>
          <w:highlight w:val="none"/>
        </w:rPr>
      </w:pPr>
      <w:r>
        <w:rPr>
          <w:color w:val="auto"/>
          <w:sz w:val="28"/>
          <w:szCs w:val="21"/>
          <w:highlight w:val="none"/>
        </w:rPr>
        <w:t>（</w:t>
      </w:r>
      <w:r>
        <w:rPr>
          <w:rFonts w:hint="eastAsia"/>
          <w:color w:val="auto"/>
          <w:sz w:val="28"/>
          <w:szCs w:val="21"/>
          <w:highlight w:val="none"/>
        </w:rPr>
        <w:t>11</w:t>
      </w:r>
      <w:r>
        <w:rPr>
          <w:color w:val="auto"/>
          <w:sz w:val="28"/>
          <w:szCs w:val="21"/>
          <w:highlight w:val="none"/>
        </w:rPr>
        <w:t>）《江西省畜禽养殖管理办法》（</w:t>
      </w:r>
      <w:r>
        <w:rPr>
          <w:rFonts w:hint="eastAsia"/>
          <w:color w:val="auto"/>
          <w:sz w:val="28"/>
          <w:szCs w:val="21"/>
          <w:highlight w:val="none"/>
        </w:rPr>
        <w:t>2021年</w:t>
      </w:r>
      <w:r>
        <w:rPr>
          <w:color w:val="auto"/>
          <w:sz w:val="28"/>
          <w:szCs w:val="21"/>
          <w:highlight w:val="none"/>
        </w:rPr>
        <w:t>修订）</w:t>
      </w:r>
    </w:p>
    <w:p w14:paraId="6AD68527">
      <w:pPr>
        <w:ind w:firstLine="560"/>
        <w:rPr>
          <w:color w:val="auto"/>
          <w:sz w:val="28"/>
          <w:szCs w:val="21"/>
          <w:highlight w:val="none"/>
        </w:rPr>
      </w:pPr>
      <w:r>
        <w:rPr>
          <w:color w:val="auto"/>
          <w:sz w:val="28"/>
          <w:szCs w:val="21"/>
          <w:highlight w:val="none"/>
        </w:rPr>
        <w:t>（</w:t>
      </w:r>
      <w:r>
        <w:rPr>
          <w:rFonts w:hint="eastAsia"/>
          <w:color w:val="auto"/>
          <w:sz w:val="28"/>
          <w:szCs w:val="21"/>
          <w:highlight w:val="none"/>
        </w:rPr>
        <w:t>12</w:t>
      </w:r>
      <w:r>
        <w:rPr>
          <w:color w:val="auto"/>
          <w:sz w:val="28"/>
          <w:szCs w:val="21"/>
          <w:highlight w:val="none"/>
        </w:rPr>
        <w:t>）《江西省农业生态环境保护条例》（2018年修订）</w:t>
      </w:r>
    </w:p>
    <w:p w14:paraId="3C638C2F">
      <w:pPr>
        <w:ind w:firstLine="560"/>
        <w:rPr>
          <w:color w:val="auto"/>
          <w:sz w:val="28"/>
          <w:szCs w:val="21"/>
          <w:highlight w:val="none"/>
        </w:rPr>
      </w:pPr>
      <w:r>
        <w:rPr>
          <w:rFonts w:hint="eastAsia"/>
          <w:color w:val="auto"/>
          <w:sz w:val="28"/>
          <w:szCs w:val="21"/>
          <w:highlight w:val="none"/>
        </w:rPr>
        <w:t>（1</w:t>
      </w:r>
      <w:r>
        <w:rPr>
          <w:rFonts w:hint="eastAsia"/>
          <w:color w:val="auto"/>
          <w:sz w:val="28"/>
          <w:szCs w:val="21"/>
          <w:highlight w:val="none"/>
          <w:lang w:val="en-US" w:eastAsia="zh-CN"/>
        </w:rPr>
        <w:t>3</w:t>
      </w:r>
      <w:r>
        <w:rPr>
          <w:rFonts w:hint="eastAsia"/>
          <w:color w:val="auto"/>
          <w:sz w:val="28"/>
          <w:szCs w:val="21"/>
          <w:highlight w:val="none"/>
        </w:rPr>
        <w:t>）</w:t>
      </w:r>
      <w:r>
        <w:rPr>
          <w:color w:val="auto"/>
          <w:sz w:val="28"/>
          <w:szCs w:val="21"/>
          <w:highlight w:val="none"/>
        </w:rPr>
        <w:t>《江西省湿地保护条例》（2024年修订）</w:t>
      </w:r>
    </w:p>
    <w:p w14:paraId="431DAF8F">
      <w:pPr>
        <w:ind w:firstLine="560"/>
        <w:rPr>
          <w:color w:val="auto"/>
          <w:sz w:val="28"/>
          <w:szCs w:val="21"/>
          <w:highlight w:val="none"/>
        </w:rPr>
      </w:pPr>
      <w:r>
        <w:rPr>
          <w:color w:val="auto"/>
          <w:sz w:val="28"/>
          <w:szCs w:val="21"/>
          <w:highlight w:val="none"/>
        </w:rPr>
        <w:t>（1</w:t>
      </w:r>
      <w:r>
        <w:rPr>
          <w:rFonts w:hint="eastAsia"/>
          <w:color w:val="auto"/>
          <w:sz w:val="28"/>
          <w:szCs w:val="21"/>
          <w:highlight w:val="none"/>
          <w:lang w:val="en-US" w:eastAsia="zh-CN"/>
        </w:rPr>
        <w:t>4</w:t>
      </w:r>
      <w:r>
        <w:rPr>
          <w:color w:val="auto"/>
          <w:sz w:val="28"/>
          <w:szCs w:val="21"/>
          <w:highlight w:val="none"/>
        </w:rPr>
        <w:t>）《</w:t>
      </w:r>
      <w:r>
        <w:rPr>
          <w:rFonts w:hint="eastAsia"/>
          <w:color w:val="auto"/>
          <w:sz w:val="28"/>
          <w:szCs w:val="21"/>
          <w:highlight w:val="none"/>
        </w:rPr>
        <w:t>南昌市饮用水水源保护条例</w:t>
      </w:r>
      <w:r>
        <w:rPr>
          <w:color w:val="auto"/>
          <w:sz w:val="28"/>
          <w:szCs w:val="21"/>
          <w:highlight w:val="none"/>
        </w:rPr>
        <w:t>》（20</w:t>
      </w:r>
      <w:r>
        <w:rPr>
          <w:rFonts w:hint="eastAsia"/>
          <w:color w:val="auto"/>
          <w:sz w:val="28"/>
          <w:szCs w:val="21"/>
          <w:highlight w:val="none"/>
        </w:rPr>
        <w:t>23</w:t>
      </w:r>
      <w:r>
        <w:rPr>
          <w:color w:val="auto"/>
          <w:sz w:val="28"/>
          <w:szCs w:val="21"/>
          <w:highlight w:val="none"/>
        </w:rPr>
        <w:t>年修订）</w:t>
      </w:r>
    </w:p>
    <w:p w14:paraId="063EDCE7">
      <w:pPr>
        <w:ind w:firstLine="560"/>
        <w:rPr>
          <w:rFonts w:hint="eastAsia"/>
          <w:color w:val="auto"/>
          <w:sz w:val="28"/>
          <w:szCs w:val="28"/>
          <w:highlight w:val="none"/>
          <w:lang w:val="en-US" w:eastAsia="zh-CN"/>
        </w:rPr>
      </w:pPr>
      <w:r>
        <w:rPr>
          <w:rFonts w:hint="eastAsia"/>
          <w:color w:val="auto"/>
          <w:sz w:val="28"/>
          <w:szCs w:val="28"/>
          <w:highlight w:val="none"/>
          <w:lang w:val="en-US" w:eastAsia="zh-CN"/>
        </w:rPr>
        <w:t>（15）《中华人民共和国河道管理条例》</w:t>
      </w:r>
      <w:r>
        <w:rPr>
          <w:color w:val="auto"/>
          <w:sz w:val="28"/>
          <w:szCs w:val="21"/>
          <w:highlight w:val="none"/>
        </w:rPr>
        <w:t>（20</w:t>
      </w:r>
      <w:r>
        <w:rPr>
          <w:rFonts w:hint="eastAsia"/>
          <w:color w:val="auto"/>
          <w:sz w:val="28"/>
          <w:szCs w:val="21"/>
          <w:highlight w:val="none"/>
        </w:rPr>
        <w:t>2</w:t>
      </w:r>
      <w:r>
        <w:rPr>
          <w:rFonts w:hint="eastAsia"/>
          <w:color w:val="auto"/>
          <w:sz w:val="28"/>
          <w:szCs w:val="21"/>
          <w:highlight w:val="none"/>
          <w:lang w:val="en-US" w:eastAsia="zh-CN"/>
        </w:rPr>
        <w:t>6</w:t>
      </w:r>
      <w:r>
        <w:rPr>
          <w:color w:val="auto"/>
          <w:sz w:val="28"/>
          <w:szCs w:val="21"/>
          <w:highlight w:val="none"/>
        </w:rPr>
        <w:t>年修订）</w:t>
      </w:r>
    </w:p>
    <w:p w14:paraId="517435F0">
      <w:pPr>
        <w:ind w:firstLine="560"/>
        <w:rPr>
          <w:color w:val="auto"/>
          <w:sz w:val="28"/>
          <w:szCs w:val="21"/>
          <w:highlight w:val="none"/>
        </w:rPr>
      </w:pPr>
      <w:r>
        <w:rPr>
          <w:rFonts w:hint="eastAsia"/>
          <w:color w:val="auto"/>
          <w:sz w:val="28"/>
          <w:szCs w:val="28"/>
          <w:highlight w:val="none"/>
          <w:lang w:val="en-US" w:eastAsia="zh-CN"/>
        </w:rPr>
        <w:t>（16）《中华人民共和国防洪法》</w:t>
      </w:r>
      <w:r>
        <w:rPr>
          <w:color w:val="auto"/>
          <w:sz w:val="28"/>
          <w:szCs w:val="21"/>
          <w:highlight w:val="none"/>
        </w:rPr>
        <w:t>（20</w:t>
      </w:r>
      <w:r>
        <w:rPr>
          <w:rFonts w:hint="eastAsia"/>
          <w:color w:val="auto"/>
          <w:sz w:val="28"/>
          <w:szCs w:val="21"/>
          <w:highlight w:val="none"/>
          <w:lang w:val="en-US" w:eastAsia="zh-CN"/>
        </w:rPr>
        <w:t>16</w:t>
      </w:r>
      <w:r>
        <w:rPr>
          <w:color w:val="auto"/>
          <w:sz w:val="28"/>
          <w:szCs w:val="21"/>
          <w:highlight w:val="none"/>
        </w:rPr>
        <w:t>年修订）</w:t>
      </w:r>
    </w:p>
    <w:p w14:paraId="141AE328">
      <w:pPr>
        <w:ind w:firstLine="560"/>
        <w:rPr>
          <w:rFonts w:hint="eastAsia" w:eastAsia="仿宋_GB2312"/>
          <w:color w:val="auto"/>
          <w:sz w:val="28"/>
          <w:szCs w:val="21"/>
          <w:highlight w:val="none"/>
          <w:lang w:eastAsia="zh-CN"/>
        </w:rPr>
      </w:pPr>
      <w:r>
        <w:rPr>
          <w:rFonts w:hint="eastAsia"/>
          <w:color w:val="auto"/>
          <w:sz w:val="28"/>
          <w:szCs w:val="21"/>
          <w:highlight w:val="none"/>
          <w:lang w:eastAsia="zh-CN"/>
        </w:rPr>
        <w:t>（</w:t>
      </w:r>
      <w:r>
        <w:rPr>
          <w:rFonts w:hint="eastAsia"/>
          <w:color w:val="auto"/>
          <w:sz w:val="28"/>
          <w:szCs w:val="21"/>
          <w:highlight w:val="none"/>
          <w:lang w:val="en-US" w:eastAsia="zh-CN"/>
        </w:rPr>
        <w:t>17</w:t>
      </w:r>
      <w:r>
        <w:rPr>
          <w:rFonts w:hint="eastAsia"/>
          <w:color w:val="auto"/>
          <w:sz w:val="28"/>
          <w:szCs w:val="21"/>
          <w:highlight w:val="none"/>
          <w:lang w:eastAsia="zh-CN"/>
        </w:rPr>
        <w:t>）《南昌市城市市容和环境卫生管理条例》</w:t>
      </w:r>
      <w:r>
        <w:rPr>
          <w:color w:val="auto"/>
          <w:sz w:val="28"/>
          <w:szCs w:val="21"/>
          <w:highlight w:val="none"/>
        </w:rPr>
        <w:t>（20</w:t>
      </w:r>
      <w:r>
        <w:rPr>
          <w:rFonts w:hint="eastAsia"/>
          <w:color w:val="auto"/>
          <w:sz w:val="28"/>
          <w:szCs w:val="21"/>
          <w:highlight w:val="none"/>
          <w:lang w:val="en-US" w:eastAsia="zh-CN"/>
        </w:rPr>
        <w:t>10</w:t>
      </w:r>
      <w:r>
        <w:rPr>
          <w:color w:val="auto"/>
          <w:sz w:val="28"/>
          <w:szCs w:val="21"/>
          <w:highlight w:val="none"/>
        </w:rPr>
        <w:t>年修订）</w:t>
      </w:r>
    </w:p>
    <w:p w14:paraId="4795FA4E">
      <w:pPr>
        <w:ind w:firstLine="602"/>
        <w:rPr>
          <w:b/>
          <w:bCs/>
          <w:color w:val="auto"/>
          <w:highlight w:val="none"/>
        </w:rPr>
      </w:pPr>
      <w:r>
        <w:rPr>
          <w:b/>
          <w:bCs/>
          <w:color w:val="auto"/>
          <w:highlight w:val="none"/>
        </w:rPr>
        <w:t>2.政策文件与规划</w:t>
      </w:r>
    </w:p>
    <w:p w14:paraId="50A6E83F">
      <w:pPr>
        <w:ind w:firstLine="560"/>
        <w:rPr>
          <w:color w:val="auto"/>
          <w:w w:val="80"/>
          <w:sz w:val="28"/>
          <w:szCs w:val="21"/>
          <w:highlight w:val="none"/>
        </w:rPr>
      </w:pPr>
      <w:r>
        <w:rPr>
          <w:rFonts w:hint="eastAsia"/>
          <w:color w:val="auto"/>
          <w:sz w:val="28"/>
          <w:szCs w:val="21"/>
          <w:highlight w:val="none"/>
        </w:rPr>
        <w:t>（1）</w:t>
      </w:r>
      <w:r>
        <w:rPr>
          <w:color w:val="auto"/>
          <w:sz w:val="28"/>
          <w:szCs w:val="21"/>
          <w:highlight w:val="none"/>
        </w:rPr>
        <w:t>《畜禽养殖禁养区划定技术指南》</w:t>
      </w:r>
      <w:r>
        <w:rPr>
          <w:color w:val="auto"/>
          <w:w w:val="89"/>
          <w:sz w:val="28"/>
          <w:szCs w:val="21"/>
          <w:highlight w:val="none"/>
        </w:rPr>
        <w:t>（环办水体〔2016〕99号）</w:t>
      </w:r>
    </w:p>
    <w:p w14:paraId="08BF89CD">
      <w:pPr>
        <w:ind w:firstLine="560"/>
        <w:rPr>
          <w:color w:val="auto"/>
          <w:sz w:val="28"/>
          <w:szCs w:val="21"/>
          <w:highlight w:val="none"/>
        </w:rPr>
      </w:pPr>
      <w:r>
        <w:rPr>
          <w:rFonts w:hint="eastAsia"/>
          <w:color w:val="auto"/>
          <w:sz w:val="28"/>
          <w:szCs w:val="21"/>
          <w:highlight w:val="none"/>
        </w:rPr>
        <w:t>（2）</w:t>
      </w:r>
      <w:r>
        <w:rPr>
          <w:color w:val="auto"/>
          <w:sz w:val="28"/>
          <w:szCs w:val="21"/>
          <w:highlight w:val="none"/>
        </w:rPr>
        <w:t>《畜禽养殖污染防治规划编制指南（试行）》（环办土壤函〔2021〕465号）</w:t>
      </w:r>
    </w:p>
    <w:p w14:paraId="143825F8">
      <w:pPr>
        <w:ind w:firstLine="560"/>
        <w:rPr>
          <w:color w:val="auto"/>
          <w:w w:val="85"/>
          <w:sz w:val="28"/>
          <w:szCs w:val="21"/>
          <w:highlight w:val="none"/>
        </w:rPr>
      </w:pPr>
      <w:r>
        <w:rPr>
          <w:rFonts w:hint="eastAsia"/>
          <w:color w:val="auto"/>
          <w:sz w:val="28"/>
          <w:szCs w:val="21"/>
          <w:highlight w:val="none"/>
        </w:rPr>
        <w:t>（</w:t>
      </w:r>
      <w:r>
        <w:rPr>
          <w:rFonts w:hint="eastAsia"/>
          <w:color w:val="auto"/>
          <w:sz w:val="28"/>
          <w:szCs w:val="21"/>
          <w:highlight w:val="none"/>
          <w:lang w:val="en-US" w:eastAsia="zh-CN"/>
        </w:rPr>
        <w:t>3</w:t>
      </w:r>
      <w:r>
        <w:rPr>
          <w:rFonts w:hint="eastAsia"/>
          <w:color w:val="auto"/>
          <w:sz w:val="28"/>
          <w:szCs w:val="21"/>
          <w:highlight w:val="none"/>
        </w:rPr>
        <w:t>）</w:t>
      </w:r>
      <w:r>
        <w:rPr>
          <w:color w:val="auto"/>
          <w:sz w:val="28"/>
          <w:szCs w:val="21"/>
          <w:highlight w:val="none"/>
        </w:rPr>
        <w:t>《饮用水水源保护区划分技术规范》</w:t>
      </w:r>
      <w:r>
        <w:rPr>
          <w:color w:val="auto"/>
          <w:w w:val="85"/>
          <w:sz w:val="28"/>
          <w:szCs w:val="21"/>
          <w:highlight w:val="none"/>
        </w:rPr>
        <w:t>（HJ338-20</w:t>
      </w:r>
      <w:r>
        <w:rPr>
          <w:rFonts w:hint="eastAsia"/>
          <w:color w:val="auto"/>
          <w:w w:val="85"/>
          <w:sz w:val="28"/>
          <w:szCs w:val="21"/>
          <w:highlight w:val="none"/>
          <w:lang w:val="en-US" w:eastAsia="zh-CN"/>
        </w:rPr>
        <w:t>18</w:t>
      </w:r>
      <w:r>
        <w:rPr>
          <w:color w:val="auto"/>
          <w:w w:val="85"/>
          <w:sz w:val="28"/>
          <w:szCs w:val="21"/>
          <w:highlight w:val="none"/>
        </w:rPr>
        <w:t>）</w:t>
      </w:r>
    </w:p>
    <w:p w14:paraId="1942AE4D">
      <w:pPr>
        <w:ind w:firstLine="560"/>
        <w:rPr>
          <w:color w:val="auto"/>
          <w:sz w:val="28"/>
          <w:szCs w:val="21"/>
          <w:highlight w:val="none"/>
        </w:rPr>
      </w:pPr>
      <w:r>
        <w:rPr>
          <w:color w:val="auto"/>
          <w:sz w:val="28"/>
          <w:szCs w:val="21"/>
          <w:highlight w:val="none"/>
        </w:rPr>
        <w:t>（</w:t>
      </w:r>
      <w:r>
        <w:rPr>
          <w:rFonts w:hint="eastAsia"/>
          <w:color w:val="auto"/>
          <w:sz w:val="28"/>
          <w:szCs w:val="21"/>
          <w:highlight w:val="none"/>
          <w:lang w:val="en-US" w:eastAsia="zh-CN"/>
        </w:rPr>
        <w:t>4</w:t>
      </w:r>
      <w:r>
        <w:rPr>
          <w:color w:val="auto"/>
          <w:sz w:val="28"/>
          <w:szCs w:val="21"/>
          <w:highlight w:val="none"/>
        </w:rPr>
        <w:t>）生态环境部</w:t>
      </w:r>
      <w:r>
        <w:rPr>
          <w:rFonts w:hint="eastAsia"/>
          <w:color w:val="auto"/>
          <w:sz w:val="28"/>
          <w:szCs w:val="21"/>
          <w:highlight w:val="none"/>
        </w:rPr>
        <w:t>、</w:t>
      </w:r>
      <w:r>
        <w:rPr>
          <w:color w:val="auto"/>
          <w:sz w:val="28"/>
          <w:szCs w:val="21"/>
          <w:highlight w:val="none"/>
        </w:rPr>
        <w:t>农业农村部《关于进一步规范畜禽养殖禁养区划定和管理促进生猪生产发展的通知》</w:t>
      </w:r>
      <w:r>
        <w:rPr>
          <w:color w:val="auto"/>
          <w:w w:val="85"/>
          <w:sz w:val="28"/>
          <w:szCs w:val="21"/>
          <w:highlight w:val="none"/>
        </w:rPr>
        <w:t>（环办土壤〔2019〕55号）</w:t>
      </w:r>
    </w:p>
    <w:p w14:paraId="50F768FC">
      <w:pPr>
        <w:ind w:firstLine="560"/>
        <w:rPr>
          <w:color w:val="auto"/>
          <w:w w:val="85"/>
          <w:sz w:val="28"/>
          <w:szCs w:val="21"/>
          <w:highlight w:val="none"/>
        </w:rPr>
      </w:pPr>
      <w:r>
        <w:rPr>
          <w:color w:val="auto"/>
          <w:sz w:val="28"/>
          <w:szCs w:val="21"/>
          <w:highlight w:val="none"/>
        </w:rPr>
        <w:t>（</w:t>
      </w:r>
      <w:r>
        <w:rPr>
          <w:rFonts w:hint="eastAsia"/>
          <w:color w:val="auto"/>
          <w:sz w:val="28"/>
          <w:szCs w:val="21"/>
          <w:highlight w:val="none"/>
          <w:lang w:val="en-US" w:eastAsia="zh-CN"/>
        </w:rPr>
        <w:t>5</w:t>
      </w:r>
      <w:r>
        <w:rPr>
          <w:color w:val="auto"/>
          <w:sz w:val="28"/>
          <w:szCs w:val="21"/>
          <w:highlight w:val="none"/>
        </w:rPr>
        <w:t>）《南昌市红谷滩区生态文明建设示范区规划</w:t>
      </w:r>
      <w:r>
        <w:rPr>
          <w:color w:val="auto"/>
          <w:w w:val="85"/>
          <w:sz w:val="28"/>
          <w:szCs w:val="21"/>
          <w:highlight w:val="none"/>
        </w:rPr>
        <w:t>（2023</w:t>
      </w:r>
      <w:r>
        <w:rPr>
          <w:rFonts w:hint="eastAsia"/>
          <w:color w:val="auto"/>
          <w:w w:val="85"/>
          <w:sz w:val="28"/>
          <w:szCs w:val="21"/>
          <w:highlight w:val="none"/>
          <w:lang w:eastAsia="zh-CN"/>
        </w:rPr>
        <w:t>—</w:t>
      </w:r>
      <w:r>
        <w:rPr>
          <w:color w:val="auto"/>
          <w:w w:val="85"/>
          <w:sz w:val="28"/>
          <w:szCs w:val="21"/>
          <w:highlight w:val="none"/>
        </w:rPr>
        <w:t>2030年）》</w:t>
      </w:r>
    </w:p>
    <w:p w14:paraId="6FFB63AB">
      <w:pPr>
        <w:ind w:firstLine="560"/>
        <w:rPr>
          <w:color w:val="auto"/>
          <w:w w:val="85"/>
          <w:sz w:val="28"/>
          <w:szCs w:val="21"/>
          <w:highlight w:val="none"/>
        </w:rPr>
      </w:pPr>
      <w:r>
        <w:rPr>
          <w:color w:val="auto"/>
          <w:sz w:val="28"/>
          <w:szCs w:val="21"/>
          <w:highlight w:val="none"/>
        </w:rPr>
        <w:t>（</w:t>
      </w:r>
      <w:r>
        <w:rPr>
          <w:rFonts w:hint="eastAsia"/>
          <w:color w:val="auto"/>
          <w:sz w:val="28"/>
          <w:szCs w:val="21"/>
          <w:highlight w:val="none"/>
          <w:lang w:val="en-US" w:eastAsia="zh-CN"/>
        </w:rPr>
        <w:t>6</w:t>
      </w:r>
      <w:r>
        <w:rPr>
          <w:color w:val="auto"/>
          <w:sz w:val="28"/>
          <w:szCs w:val="21"/>
          <w:highlight w:val="none"/>
        </w:rPr>
        <w:t>）《</w:t>
      </w:r>
      <w:r>
        <w:rPr>
          <w:rFonts w:hint="eastAsia"/>
          <w:color w:val="auto"/>
          <w:sz w:val="28"/>
          <w:szCs w:val="21"/>
          <w:highlight w:val="none"/>
          <w:lang w:val="en-US" w:eastAsia="zh-CN"/>
        </w:rPr>
        <w:t>南昌市</w:t>
      </w:r>
      <w:r>
        <w:rPr>
          <w:color w:val="auto"/>
          <w:sz w:val="28"/>
          <w:szCs w:val="21"/>
          <w:highlight w:val="none"/>
        </w:rPr>
        <w:t>国土空间总体规划</w:t>
      </w:r>
      <w:r>
        <w:rPr>
          <w:color w:val="auto"/>
          <w:w w:val="85"/>
          <w:sz w:val="28"/>
          <w:szCs w:val="21"/>
          <w:highlight w:val="none"/>
        </w:rPr>
        <w:t>（2021</w:t>
      </w:r>
      <w:r>
        <w:rPr>
          <w:rFonts w:hint="eastAsia"/>
          <w:color w:val="auto"/>
          <w:w w:val="85"/>
          <w:sz w:val="28"/>
          <w:szCs w:val="21"/>
          <w:highlight w:val="none"/>
          <w:lang w:eastAsia="zh-CN"/>
        </w:rPr>
        <w:t>—</w:t>
      </w:r>
      <w:r>
        <w:rPr>
          <w:color w:val="auto"/>
          <w:w w:val="85"/>
          <w:sz w:val="28"/>
          <w:szCs w:val="21"/>
          <w:highlight w:val="none"/>
        </w:rPr>
        <w:t>2035年）》</w:t>
      </w:r>
    </w:p>
    <w:p w14:paraId="7420B29B">
      <w:pPr>
        <w:pStyle w:val="6"/>
        <w:keepNext w:val="0"/>
        <w:keepLines w:val="0"/>
        <w:widowControl/>
        <w:numPr>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200" w:right="0" w:rightChars="0"/>
        <w:jc w:val="both"/>
        <w:rPr>
          <w:rFonts w:hint="default" w:ascii="仿宋" w:hAnsi="仿宋" w:eastAsia="仿宋" w:cs="仿宋"/>
          <w:b/>
          <w:bCs/>
          <w:i w:val="0"/>
          <w:iCs w:val="0"/>
          <w:caps w:val="0"/>
          <w:color w:val="525353"/>
          <w:spacing w:val="0"/>
          <w:sz w:val="32"/>
          <w:szCs w:val="32"/>
          <w:shd w:val="clear" w:fill="FFFFFF"/>
          <w:lang w:val="en-US" w:eastAsia="zh-CN"/>
        </w:rPr>
      </w:pPr>
    </w:p>
    <w:p w14:paraId="5BDFD73B">
      <w:pPr>
        <w:pStyle w:val="6"/>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leftChars="0" w:right="0" w:firstLine="643" w:firstLineChars="200"/>
        <w:jc w:val="both"/>
        <w:rPr>
          <w:rFonts w:hint="default" w:ascii="仿宋" w:hAnsi="仿宋" w:eastAsia="仿宋" w:cs="仿宋"/>
          <w:b/>
          <w:bCs/>
          <w:i w:val="0"/>
          <w:iCs w:val="0"/>
          <w:caps w:val="0"/>
          <w:color w:val="525353"/>
          <w:spacing w:val="0"/>
          <w:sz w:val="32"/>
          <w:szCs w:val="32"/>
          <w:shd w:val="clear" w:fill="FFFFFF"/>
          <w:lang w:val="en-US" w:eastAsia="zh-CN"/>
        </w:rPr>
      </w:pPr>
      <w:r>
        <w:rPr>
          <w:rFonts w:hint="eastAsia" w:ascii="仿宋" w:hAnsi="仿宋" w:eastAsia="仿宋" w:cs="仿宋"/>
          <w:b/>
          <w:bCs/>
          <w:i w:val="0"/>
          <w:iCs w:val="0"/>
          <w:caps w:val="0"/>
          <w:color w:val="525353"/>
          <w:spacing w:val="0"/>
          <w:sz w:val="32"/>
          <w:szCs w:val="32"/>
          <w:shd w:val="clear" w:fill="FFFFFF"/>
          <w:lang w:val="en-US" w:eastAsia="zh-CN"/>
        </w:rPr>
        <w:t>术语与定义</w:t>
      </w:r>
    </w:p>
    <w:p w14:paraId="7404667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jc w:val="both"/>
        <w:rPr>
          <w:rFonts w:ascii="仿宋" w:hAnsi="仿宋" w:eastAsia="仿宋" w:cs="仿宋"/>
          <w:b w:val="0"/>
          <w:bCs w:val="0"/>
          <w:color w:val="000000"/>
          <w:sz w:val="30"/>
          <w:szCs w:val="30"/>
        </w:rPr>
      </w:pPr>
      <w:r>
        <w:rPr>
          <w:rFonts w:ascii="楷体" w:hAnsi="楷体" w:eastAsia="楷体" w:cs="楷体"/>
          <w:b/>
          <w:bCs/>
          <w:color w:val="000000"/>
          <w:sz w:val="30"/>
          <w:szCs w:val="30"/>
        </w:rPr>
        <w:t xml:space="preserve">畜禽 </w:t>
      </w:r>
      <w:r>
        <w:rPr>
          <w:rFonts w:ascii="仿宋" w:hAnsi="仿宋" w:eastAsia="仿宋" w:cs="仿宋"/>
          <w:b w:val="0"/>
          <w:bCs w:val="0"/>
          <w:color w:val="000000"/>
          <w:sz w:val="30"/>
          <w:szCs w:val="30"/>
        </w:rPr>
        <w:t>包括猪、牛、鸡等主要畜禽，其他品种动物由各地依据其规模 养殖的环境影响确定。</w:t>
      </w:r>
    </w:p>
    <w:p w14:paraId="1287C4C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jc w:val="both"/>
        <w:rPr>
          <w:rFonts w:hint="eastAsia" w:ascii="仿宋" w:hAnsi="仿宋" w:eastAsia="仿宋" w:cs="仿宋"/>
          <w:b w:val="0"/>
          <w:bCs w:val="0"/>
          <w:color w:val="000000"/>
          <w:sz w:val="30"/>
          <w:szCs w:val="30"/>
        </w:rPr>
      </w:pPr>
      <w:r>
        <w:rPr>
          <w:rFonts w:hint="eastAsia" w:ascii="楷体" w:hAnsi="楷体" w:eastAsia="楷体" w:cs="楷体"/>
          <w:b/>
          <w:bCs/>
          <w:color w:val="000000"/>
          <w:sz w:val="30"/>
          <w:szCs w:val="30"/>
        </w:rPr>
        <w:t xml:space="preserve">畜禽养殖场、养殖小区 </w:t>
      </w:r>
      <w:r>
        <w:rPr>
          <w:rFonts w:hint="eastAsia" w:ascii="仿宋" w:hAnsi="仿宋" w:eastAsia="仿宋" w:cs="仿宋"/>
          <w:b w:val="0"/>
          <w:bCs w:val="0"/>
          <w:color w:val="000000"/>
          <w:sz w:val="30"/>
          <w:szCs w:val="30"/>
        </w:rPr>
        <w:t>指达到省级人民政府确定的养殖规模标准的畜禽集中饲养场所（以下简称养殖场）。</w:t>
      </w:r>
    </w:p>
    <w:p w14:paraId="3A3C436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jc w:val="both"/>
        <w:rPr>
          <w:rFonts w:hint="default" w:ascii="仿宋_GB2312" w:hAnsi="仿宋_GB2312" w:eastAsia="仿宋_GB2312" w:cstheme="minorBidi"/>
          <w:color w:val="auto"/>
          <w:kern w:val="0"/>
          <w:sz w:val="28"/>
          <w:szCs w:val="21"/>
          <w:highlight w:val="none"/>
          <w:lang w:val="en-US" w:eastAsia="zh-CN" w:bidi="ar-SA"/>
        </w:rPr>
      </w:pPr>
      <w:r>
        <w:rPr>
          <w:rFonts w:hint="eastAsia" w:ascii="楷体" w:hAnsi="楷体" w:eastAsia="楷体" w:cs="楷体"/>
          <w:b/>
          <w:bCs/>
          <w:color w:val="000000"/>
          <w:sz w:val="30"/>
          <w:szCs w:val="30"/>
        </w:rPr>
        <w:t xml:space="preserve">禁养区 </w:t>
      </w:r>
      <w:r>
        <w:rPr>
          <w:rFonts w:hint="eastAsia" w:ascii="仿宋" w:hAnsi="仿宋" w:eastAsia="仿宋" w:cs="仿宋"/>
          <w:b w:val="0"/>
          <w:bCs w:val="0"/>
          <w:color w:val="000000"/>
          <w:sz w:val="30"/>
          <w:szCs w:val="30"/>
        </w:rPr>
        <w:t>指县级以上地方人民政府依法划定的禁止建设养殖场或禁止建设有污染物排放的养殖场的区域。</w:t>
      </w:r>
    </w:p>
    <w:p w14:paraId="135A1100">
      <w:pPr>
        <w:ind w:firstLine="560"/>
        <w:rPr>
          <w:rFonts w:hint="eastAsia" w:ascii="仿宋_GB2312" w:hAnsi="仿宋_GB2312" w:eastAsia="仿宋_GB2312" w:cstheme="minorBidi"/>
          <w:color w:val="auto"/>
          <w:kern w:val="0"/>
          <w:sz w:val="28"/>
          <w:szCs w:val="21"/>
          <w:highlight w:val="none"/>
          <w:lang w:val="en-US" w:eastAsia="zh-CN" w:bidi="ar-SA"/>
        </w:rPr>
      </w:pPr>
      <w:r>
        <w:rPr>
          <w:rFonts w:hint="eastAsia" w:ascii="仿宋_GB2312" w:hAnsi="仿宋_GB2312" w:eastAsia="仿宋_GB2312" w:cstheme="minorBidi"/>
          <w:color w:val="auto"/>
          <w:kern w:val="0"/>
          <w:sz w:val="28"/>
          <w:szCs w:val="21"/>
          <w:highlight w:val="none"/>
          <w:lang w:val="en-US" w:eastAsia="zh-CN" w:bidi="ar-SA"/>
        </w:rPr>
        <w:t>畜禽养殖场规模标准：根据《畜禽规模养殖污染防治条例》，畜禽养殖场、养殖小区的具体规模标准由省级人民政府确定，并报国务院环境保护主管部门和国务院农牧主管部门备案。参照《畜禽养殖业污染物排放标准》（GB18596-2001）对规模化养殖的定义，结合2021年6月9日江西省人民政府令第250号修正的《江西省畜禽养殖管理办法》，本方案规模化畜禽是指达到以下规模：</w:t>
      </w:r>
    </w:p>
    <w:p w14:paraId="7B7B23A1">
      <w:pPr>
        <w:ind w:firstLine="560"/>
        <w:rPr>
          <w:rFonts w:hint="default" w:ascii="仿宋_GB2312" w:hAnsi="仿宋_GB2312" w:eastAsia="仿宋_GB2312" w:cstheme="minorBidi"/>
          <w:color w:val="auto"/>
          <w:kern w:val="0"/>
          <w:sz w:val="28"/>
          <w:szCs w:val="21"/>
          <w:highlight w:val="none"/>
          <w:lang w:val="en-US" w:eastAsia="zh-CN" w:bidi="ar-SA"/>
        </w:rPr>
      </w:pPr>
      <w:r>
        <w:rPr>
          <w:rFonts w:hint="default" w:ascii="仿宋_GB2312" w:hAnsi="仿宋_GB2312" w:eastAsia="仿宋_GB2312" w:cstheme="minorBidi"/>
          <w:color w:val="auto"/>
          <w:kern w:val="0"/>
          <w:sz w:val="28"/>
          <w:szCs w:val="21"/>
          <w:highlight w:val="none"/>
          <w:lang w:val="en-US" w:eastAsia="zh-CN" w:bidi="ar-SA"/>
        </w:rPr>
        <w:t>（一）生猪存栏二百头以上；</w:t>
      </w:r>
    </w:p>
    <w:p w14:paraId="141FA04B">
      <w:pPr>
        <w:ind w:firstLine="560"/>
        <w:rPr>
          <w:rFonts w:hint="default" w:ascii="仿宋_GB2312" w:hAnsi="仿宋_GB2312" w:eastAsia="仿宋_GB2312" w:cstheme="minorBidi"/>
          <w:color w:val="auto"/>
          <w:kern w:val="0"/>
          <w:sz w:val="28"/>
          <w:szCs w:val="21"/>
          <w:highlight w:val="none"/>
          <w:lang w:val="en-US" w:eastAsia="zh-CN" w:bidi="ar-SA"/>
        </w:rPr>
      </w:pPr>
      <w:r>
        <w:rPr>
          <w:rFonts w:hint="default" w:ascii="仿宋_GB2312" w:hAnsi="仿宋_GB2312" w:eastAsia="仿宋_GB2312" w:cstheme="minorBidi"/>
          <w:color w:val="auto"/>
          <w:kern w:val="0"/>
          <w:sz w:val="28"/>
          <w:szCs w:val="21"/>
          <w:highlight w:val="none"/>
          <w:lang w:val="en-US" w:eastAsia="zh-CN" w:bidi="ar-SA"/>
        </w:rPr>
        <w:t>（二）肉牛存栏五十头以上；</w:t>
      </w:r>
    </w:p>
    <w:p w14:paraId="0081EA14">
      <w:pPr>
        <w:ind w:firstLine="560"/>
        <w:rPr>
          <w:rFonts w:hint="default" w:ascii="仿宋_GB2312" w:hAnsi="仿宋_GB2312" w:eastAsia="仿宋_GB2312" w:cstheme="minorBidi"/>
          <w:color w:val="auto"/>
          <w:kern w:val="0"/>
          <w:sz w:val="28"/>
          <w:szCs w:val="21"/>
          <w:highlight w:val="none"/>
          <w:lang w:val="en-US" w:eastAsia="zh-CN" w:bidi="ar-SA"/>
        </w:rPr>
      </w:pPr>
      <w:r>
        <w:rPr>
          <w:rFonts w:hint="default" w:ascii="仿宋_GB2312" w:hAnsi="仿宋_GB2312" w:eastAsia="仿宋_GB2312" w:cstheme="minorBidi"/>
          <w:color w:val="auto"/>
          <w:kern w:val="0"/>
          <w:sz w:val="28"/>
          <w:szCs w:val="21"/>
          <w:highlight w:val="none"/>
          <w:lang w:val="en-US" w:eastAsia="zh-CN" w:bidi="ar-SA"/>
        </w:rPr>
        <w:t>（三）奶牛存栏十头以上；</w:t>
      </w:r>
    </w:p>
    <w:p w14:paraId="06F07DAD">
      <w:pPr>
        <w:ind w:firstLine="560"/>
        <w:rPr>
          <w:rFonts w:hint="default" w:ascii="仿宋_GB2312" w:hAnsi="仿宋_GB2312" w:eastAsia="仿宋_GB2312" w:cstheme="minorBidi"/>
          <w:color w:val="auto"/>
          <w:kern w:val="0"/>
          <w:sz w:val="28"/>
          <w:szCs w:val="21"/>
          <w:highlight w:val="none"/>
          <w:lang w:val="en-US" w:eastAsia="zh-CN" w:bidi="ar-SA"/>
        </w:rPr>
      </w:pPr>
      <w:r>
        <w:rPr>
          <w:rFonts w:hint="default" w:ascii="仿宋_GB2312" w:hAnsi="仿宋_GB2312" w:eastAsia="仿宋_GB2312" w:cstheme="minorBidi"/>
          <w:color w:val="auto"/>
          <w:kern w:val="0"/>
          <w:sz w:val="28"/>
          <w:szCs w:val="21"/>
          <w:highlight w:val="none"/>
          <w:lang w:val="en-US" w:eastAsia="zh-CN" w:bidi="ar-SA"/>
        </w:rPr>
        <w:t>（四）羊存栏二百只以上；</w:t>
      </w:r>
    </w:p>
    <w:p w14:paraId="17B87F70">
      <w:pPr>
        <w:ind w:firstLine="560"/>
        <w:rPr>
          <w:rFonts w:hint="default" w:ascii="仿宋_GB2312" w:hAnsi="仿宋_GB2312" w:eastAsia="仿宋_GB2312" w:cstheme="minorBidi"/>
          <w:color w:val="auto"/>
          <w:kern w:val="0"/>
          <w:sz w:val="28"/>
          <w:szCs w:val="21"/>
          <w:highlight w:val="none"/>
          <w:lang w:val="en-US" w:eastAsia="zh-CN" w:bidi="ar-SA"/>
        </w:rPr>
      </w:pPr>
      <w:r>
        <w:rPr>
          <w:rFonts w:hint="default" w:ascii="仿宋_GB2312" w:hAnsi="仿宋_GB2312" w:eastAsia="仿宋_GB2312" w:cstheme="minorBidi"/>
          <w:color w:val="auto"/>
          <w:kern w:val="0"/>
          <w:sz w:val="28"/>
          <w:szCs w:val="21"/>
          <w:highlight w:val="none"/>
          <w:lang w:val="en-US" w:eastAsia="zh-CN" w:bidi="ar-SA"/>
        </w:rPr>
        <w:t>（五）肉用家禽存栏三千羽以上；</w:t>
      </w:r>
    </w:p>
    <w:p w14:paraId="5A94FF33">
      <w:pPr>
        <w:ind w:firstLine="560"/>
        <w:rPr>
          <w:rFonts w:hint="default" w:ascii="仿宋_GB2312" w:hAnsi="仿宋_GB2312" w:eastAsia="仿宋_GB2312" w:cstheme="minorBidi"/>
          <w:color w:val="auto"/>
          <w:kern w:val="0"/>
          <w:sz w:val="28"/>
          <w:szCs w:val="21"/>
          <w:highlight w:val="none"/>
          <w:lang w:val="en-US" w:eastAsia="zh-CN" w:bidi="ar-SA"/>
        </w:rPr>
      </w:pPr>
      <w:r>
        <w:rPr>
          <w:rFonts w:hint="default" w:ascii="仿宋_GB2312" w:hAnsi="仿宋_GB2312" w:eastAsia="仿宋_GB2312" w:cstheme="minorBidi"/>
          <w:color w:val="auto"/>
          <w:kern w:val="0"/>
          <w:sz w:val="28"/>
          <w:szCs w:val="21"/>
          <w:highlight w:val="none"/>
          <w:lang w:val="en-US" w:eastAsia="zh-CN" w:bidi="ar-SA"/>
        </w:rPr>
        <w:t>（六）蛋用家禽存栏一千羽以上；</w:t>
      </w:r>
    </w:p>
    <w:p w14:paraId="0AF42D95">
      <w:pPr>
        <w:ind w:firstLine="560"/>
        <w:rPr>
          <w:rFonts w:hint="default" w:ascii="仿宋_GB2312" w:hAnsi="仿宋_GB2312" w:eastAsia="仿宋_GB2312" w:cstheme="minorBidi"/>
          <w:color w:val="auto"/>
          <w:kern w:val="0"/>
          <w:sz w:val="28"/>
          <w:szCs w:val="21"/>
          <w:highlight w:val="none"/>
          <w:lang w:val="en-US" w:eastAsia="zh-CN" w:bidi="ar-SA"/>
        </w:rPr>
      </w:pPr>
      <w:r>
        <w:rPr>
          <w:rFonts w:hint="default" w:ascii="仿宋_GB2312" w:hAnsi="仿宋_GB2312" w:eastAsia="仿宋_GB2312" w:cstheme="minorBidi"/>
          <w:color w:val="auto"/>
          <w:kern w:val="0"/>
          <w:sz w:val="28"/>
          <w:szCs w:val="21"/>
          <w:highlight w:val="none"/>
          <w:lang w:val="en-US" w:eastAsia="zh-CN" w:bidi="ar-SA"/>
        </w:rPr>
        <w:t>（七）兔存栏一千只以上。　　</w:t>
      </w:r>
    </w:p>
    <w:p w14:paraId="29FA6E4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jc w:val="both"/>
        <w:rPr>
          <w:rFonts w:hint="default"/>
          <w:color w:val="auto"/>
          <w:w w:val="85"/>
          <w:sz w:val="28"/>
          <w:szCs w:val="28"/>
          <w:highlight w:val="none"/>
          <w:lang w:val="en-US" w:eastAsia="zh-CN"/>
        </w:rPr>
      </w:pPr>
    </w:p>
    <w:p w14:paraId="5F3DCDC3">
      <w:pPr>
        <w:rPr>
          <w:rFonts w:hint="eastAsia"/>
          <w:sz w:val="28"/>
          <w:szCs w:val="28"/>
          <w:lang w:val="en-US" w:eastAsia="zh-CN"/>
        </w:rPr>
      </w:pPr>
    </w:p>
    <w:p w14:paraId="30C21FA4">
      <w:pPr>
        <w:rPr>
          <w:rFonts w:hint="eastAsia"/>
          <w:sz w:val="28"/>
          <w:szCs w:val="28"/>
          <w:lang w:val="en-US" w:eastAsia="zh-CN"/>
        </w:rPr>
      </w:pPr>
    </w:p>
    <w:p w14:paraId="673021A1">
      <w:pPr>
        <w:rPr>
          <w:rFonts w:hint="eastAsia"/>
          <w:sz w:val="28"/>
          <w:szCs w:val="28"/>
          <w:lang w:val="en-US" w:eastAsia="zh-CN"/>
        </w:rPr>
      </w:pPr>
    </w:p>
    <w:p w14:paraId="44C44FBC">
      <w:pPr>
        <w:pStyle w:val="6"/>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leftChars="0" w:right="0" w:firstLine="643" w:firstLineChars="200"/>
        <w:jc w:val="both"/>
        <w:rPr>
          <w:rFonts w:hint="eastAsia" w:ascii="仿宋" w:hAnsi="仿宋" w:eastAsia="仿宋" w:cs="仿宋"/>
          <w:b/>
          <w:bCs/>
          <w:i w:val="0"/>
          <w:iCs w:val="0"/>
          <w:caps w:val="0"/>
          <w:color w:val="525353"/>
          <w:spacing w:val="0"/>
          <w:sz w:val="32"/>
          <w:szCs w:val="32"/>
          <w:shd w:val="clear" w:fill="FFFFFF"/>
          <w:lang w:val="en-US" w:eastAsia="zh-CN"/>
        </w:rPr>
      </w:pPr>
      <w:r>
        <w:rPr>
          <w:rFonts w:hint="eastAsia" w:ascii="仿宋" w:hAnsi="仿宋" w:eastAsia="仿宋" w:cs="仿宋"/>
          <w:b/>
          <w:bCs/>
          <w:i w:val="0"/>
          <w:iCs w:val="0"/>
          <w:caps w:val="0"/>
          <w:color w:val="525353"/>
          <w:spacing w:val="0"/>
          <w:sz w:val="32"/>
          <w:szCs w:val="32"/>
          <w:shd w:val="clear" w:fill="FFFFFF"/>
          <w:lang w:val="en-US" w:eastAsia="zh-CN"/>
        </w:rPr>
        <w:t>畜禽养殖禁养区划定范围</w:t>
      </w:r>
    </w:p>
    <w:p w14:paraId="750CEF38">
      <w:pPr>
        <w:pStyle w:val="3"/>
        <w:bidi w:val="0"/>
        <w:rPr>
          <w:color w:val="auto"/>
          <w:highlight w:val="none"/>
        </w:rPr>
      </w:pPr>
      <w:bookmarkStart w:id="0" w:name="_Toc23299"/>
      <w:r>
        <w:rPr>
          <w:rFonts w:hint="eastAsia"/>
          <w:color w:val="auto"/>
          <w:highlight w:val="none"/>
          <w:lang w:val="en-US" w:eastAsia="zh-CN"/>
        </w:rPr>
        <w:t>5</w:t>
      </w:r>
      <w:r>
        <w:rPr>
          <w:color w:val="auto"/>
          <w:highlight w:val="none"/>
        </w:rPr>
        <w:t>.</w:t>
      </w:r>
      <w:r>
        <w:rPr>
          <w:rFonts w:hint="eastAsia"/>
          <w:color w:val="auto"/>
          <w:highlight w:val="none"/>
        </w:rPr>
        <w:t>1</w:t>
      </w:r>
      <w:r>
        <w:rPr>
          <w:color w:val="auto"/>
          <w:highlight w:val="none"/>
        </w:rPr>
        <w:t xml:space="preserve"> </w:t>
      </w:r>
      <w:r>
        <w:rPr>
          <w:rFonts w:hint="eastAsia"/>
          <w:color w:val="auto"/>
          <w:highlight w:val="none"/>
        </w:rPr>
        <w:t>饮用水水源保护区禁养区</w:t>
      </w:r>
      <w:bookmarkEnd w:id="0"/>
    </w:p>
    <w:p w14:paraId="05AB3FB8">
      <w:pPr>
        <w:ind w:firstLine="560"/>
        <w:rPr>
          <w:color w:val="auto"/>
          <w:sz w:val="28"/>
          <w:szCs w:val="28"/>
          <w:highlight w:val="none"/>
        </w:rPr>
      </w:pPr>
      <w:r>
        <w:rPr>
          <w:rFonts w:hint="eastAsia"/>
          <w:color w:val="auto"/>
          <w:sz w:val="28"/>
          <w:szCs w:val="28"/>
          <w:highlight w:val="none"/>
        </w:rPr>
        <w:t>红谷滩</w:t>
      </w:r>
      <w:r>
        <w:rPr>
          <w:rFonts w:hint="eastAsia"/>
          <w:color w:val="auto"/>
          <w:sz w:val="28"/>
          <w:szCs w:val="28"/>
          <w:highlight w:val="none"/>
          <w:lang w:val="en-US" w:eastAsia="zh-CN"/>
        </w:rPr>
        <w:t>辖区范围内现</w:t>
      </w:r>
      <w:r>
        <w:rPr>
          <w:rFonts w:hint="eastAsia"/>
          <w:color w:val="auto"/>
          <w:sz w:val="28"/>
          <w:szCs w:val="28"/>
          <w:highlight w:val="none"/>
        </w:rPr>
        <w:t>有</w:t>
      </w:r>
      <w:r>
        <w:rPr>
          <w:rFonts w:hint="eastAsia"/>
          <w:color w:val="auto"/>
          <w:sz w:val="28"/>
          <w:szCs w:val="28"/>
          <w:highlight w:val="none"/>
          <w:lang w:val="en-US" w:eastAsia="zh-CN"/>
        </w:rPr>
        <w:t>5</w:t>
      </w:r>
      <w:r>
        <w:rPr>
          <w:rFonts w:hint="eastAsia"/>
          <w:color w:val="auto"/>
          <w:sz w:val="28"/>
          <w:szCs w:val="28"/>
          <w:highlight w:val="none"/>
        </w:rPr>
        <w:t>个河流型饮用水源地保护区，</w:t>
      </w:r>
      <w:r>
        <w:rPr>
          <w:rFonts w:hint="eastAsia"/>
          <w:color w:val="auto"/>
          <w:sz w:val="28"/>
          <w:szCs w:val="28"/>
          <w:highlight w:val="none"/>
          <w:lang w:val="en-US" w:eastAsia="zh-CN"/>
        </w:rPr>
        <w:t>其中3个市级饮用水水源地、1个县级饮用水水源地、1个乡镇级饮用水水源地。</w:t>
      </w:r>
      <w:r>
        <w:rPr>
          <w:rFonts w:hint="eastAsia"/>
          <w:color w:val="auto"/>
          <w:sz w:val="28"/>
          <w:szCs w:val="28"/>
          <w:highlight w:val="none"/>
        </w:rPr>
        <w:t>分别为双港水厂取水口保护区，批复文号为赣府字〔2007〕66号；红角洲水厂取水口保护区，批复文号为赣府字〔2016〕75号；城北水厂取水口保护区，批复文号为赣府字〔2016〕75号；</w:t>
      </w:r>
      <w:r>
        <w:rPr>
          <w:rFonts w:hint="eastAsia"/>
          <w:color w:val="auto"/>
          <w:sz w:val="28"/>
          <w:szCs w:val="28"/>
          <w:highlight w:val="none"/>
          <w:lang w:val="en-US" w:eastAsia="zh-CN"/>
        </w:rPr>
        <w:t>昌南</w:t>
      </w:r>
      <w:r>
        <w:rPr>
          <w:rFonts w:hint="eastAsia"/>
          <w:color w:val="auto"/>
          <w:sz w:val="28"/>
          <w:szCs w:val="28"/>
          <w:highlight w:val="none"/>
        </w:rPr>
        <w:t>水厂取水口保护区，批复文号为赣府字〔2007〕66号</w:t>
      </w:r>
      <w:r>
        <w:rPr>
          <w:rFonts w:hint="eastAsia"/>
          <w:color w:val="auto"/>
          <w:sz w:val="28"/>
          <w:szCs w:val="28"/>
          <w:highlight w:val="none"/>
          <w:lang w:eastAsia="zh-CN"/>
        </w:rPr>
        <w:t>；</w:t>
      </w:r>
      <w:r>
        <w:rPr>
          <w:rFonts w:hint="eastAsia"/>
          <w:color w:val="auto"/>
          <w:sz w:val="28"/>
          <w:szCs w:val="28"/>
          <w:highlight w:val="none"/>
        </w:rPr>
        <w:t>生米水厂取水口保护区，批复文号为赣府字〔2020〕80号。</w:t>
      </w:r>
    </w:p>
    <w:p w14:paraId="3646F683">
      <w:pPr>
        <w:pStyle w:val="4"/>
        <w:bidi w:val="0"/>
        <w:rPr>
          <w:color w:val="auto"/>
          <w:highlight w:val="none"/>
        </w:rPr>
      </w:pPr>
      <w:r>
        <w:rPr>
          <w:rFonts w:hint="eastAsia"/>
          <w:color w:val="auto"/>
          <w:highlight w:val="none"/>
          <w:lang w:val="en-US" w:eastAsia="zh-CN"/>
        </w:rPr>
        <w:t>5.1.1</w:t>
      </w:r>
      <w:r>
        <w:rPr>
          <w:rFonts w:hint="eastAsia"/>
          <w:color w:val="auto"/>
          <w:highlight w:val="none"/>
        </w:rPr>
        <w:t>双港水厂饮用水源地</w:t>
      </w:r>
    </w:p>
    <w:p w14:paraId="390ED38E">
      <w:pPr>
        <w:ind w:firstLine="560"/>
        <w:rPr>
          <w:rFonts w:hint="eastAsia" w:eastAsia="仿宋_GB2312"/>
          <w:color w:val="auto"/>
          <w:sz w:val="28"/>
          <w:szCs w:val="21"/>
          <w:highlight w:val="none"/>
          <w:lang w:eastAsia="zh-CN"/>
        </w:rPr>
      </w:pPr>
      <w:r>
        <w:rPr>
          <w:rFonts w:hint="eastAsia"/>
          <w:color w:val="auto"/>
          <w:sz w:val="28"/>
          <w:szCs w:val="21"/>
          <w:highlight w:val="none"/>
        </w:rPr>
        <w:t>双港水厂</w:t>
      </w:r>
      <w:r>
        <w:rPr>
          <w:rFonts w:hint="eastAsia" w:ascii="Times New Roman" w:hAnsi="Times New Roman" w:eastAsia="仿宋" w:cs="Times New Roman"/>
          <w:color w:val="auto"/>
          <w:sz w:val="28"/>
          <w:szCs w:val="28"/>
          <w:highlight w:val="none"/>
          <w:lang w:val="en-US" w:eastAsia="zh-CN"/>
        </w:rPr>
        <w:t>水</w:t>
      </w:r>
      <w:r>
        <w:rPr>
          <w:rFonts w:ascii="Times New Roman" w:hAnsi="Times New Roman" w:cs="Times New Roman"/>
          <w:color w:val="auto"/>
          <w:sz w:val="28"/>
          <w:szCs w:val="28"/>
          <w:highlight w:val="none"/>
        </w:rPr>
        <w:t>源地取水来自赣江</w:t>
      </w:r>
      <w:r>
        <w:rPr>
          <w:rFonts w:hint="eastAsia" w:ascii="Times New Roman" w:hAnsi="Times New Roman" w:eastAsia="仿宋" w:cs="Times New Roman"/>
          <w:color w:val="auto"/>
          <w:sz w:val="28"/>
          <w:szCs w:val="28"/>
          <w:highlight w:val="none"/>
        </w:rPr>
        <w:t>，</w:t>
      </w:r>
      <w:r>
        <w:rPr>
          <w:rFonts w:hint="eastAsia" w:ascii="Times New Roman" w:hAnsi="Times New Roman" w:eastAsia="仿宋" w:cs="Times New Roman"/>
          <w:color w:val="auto"/>
          <w:sz w:val="28"/>
          <w:szCs w:val="28"/>
          <w:highlight w:val="none"/>
          <w:lang w:val="en-US" w:eastAsia="zh-CN"/>
        </w:rPr>
        <w:t>设有1个取水口，服务范围</w:t>
      </w:r>
      <w:r>
        <w:rPr>
          <w:rFonts w:ascii="Times New Roman" w:hAnsi="Times New Roman" w:eastAsia="仿宋" w:cs="Times New Roman"/>
          <w:color w:val="auto"/>
          <w:sz w:val="28"/>
          <w:szCs w:val="28"/>
          <w:highlight w:val="none"/>
        </w:rPr>
        <w:t>为双港、麦园等地区</w:t>
      </w:r>
      <w:r>
        <w:rPr>
          <w:rFonts w:ascii="Times New Roman" w:hAnsi="Times New Roman" w:cs="Times New Roman"/>
          <w:color w:val="auto"/>
          <w:sz w:val="28"/>
          <w:szCs w:val="28"/>
          <w:highlight w:val="none"/>
        </w:rPr>
        <w:t>，供水人数共计3</w:t>
      </w:r>
      <w:r>
        <w:rPr>
          <w:rFonts w:hint="eastAsia" w:ascii="Times New Roman" w:hAnsi="Times New Roman" w:cs="Times New Roman"/>
          <w:color w:val="auto"/>
          <w:sz w:val="28"/>
          <w:szCs w:val="28"/>
          <w:highlight w:val="none"/>
          <w:lang w:val="en-US" w:eastAsia="zh-CN"/>
        </w:rPr>
        <w:t>0</w:t>
      </w:r>
      <w:r>
        <w:rPr>
          <w:rFonts w:ascii="Times New Roman" w:hAnsi="Times New Roman" w:cs="Times New Roman"/>
          <w:color w:val="auto"/>
          <w:sz w:val="28"/>
          <w:szCs w:val="28"/>
          <w:highlight w:val="none"/>
        </w:rPr>
        <w:t>万人，日供水规模</w:t>
      </w:r>
      <w:r>
        <w:rPr>
          <w:rFonts w:hint="eastAsia" w:ascii="Times New Roman" w:hAnsi="Times New Roman" w:cs="Times New Roman"/>
          <w:color w:val="auto"/>
          <w:sz w:val="28"/>
          <w:szCs w:val="28"/>
          <w:highlight w:val="none"/>
          <w:lang w:val="en-US" w:eastAsia="zh-CN"/>
        </w:rPr>
        <w:t>10</w:t>
      </w:r>
      <w:r>
        <w:rPr>
          <w:rFonts w:ascii="Times New Roman" w:hAnsi="Times New Roman" w:cs="Times New Roman"/>
          <w:color w:val="auto"/>
          <w:sz w:val="28"/>
          <w:szCs w:val="28"/>
          <w:highlight w:val="none"/>
        </w:rPr>
        <w:t>万吨</w:t>
      </w:r>
      <w:r>
        <w:rPr>
          <w:rFonts w:hint="eastAsia"/>
          <w:color w:val="auto"/>
          <w:sz w:val="28"/>
          <w:szCs w:val="21"/>
          <w:highlight w:val="none"/>
        </w:rPr>
        <w:t>，取水口中心地理坐标为：E115°53′3.19″，N28°43′10.44″</w:t>
      </w:r>
      <w:r>
        <w:rPr>
          <w:rFonts w:hint="eastAsia"/>
          <w:color w:val="auto"/>
          <w:sz w:val="28"/>
          <w:szCs w:val="21"/>
          <w:highlight w:val="none"/>
          <w:lang w:eastAsia="zh-CN"/>
        </w:rPr>
        <w:t>，双港水厂饮用水源地</w:t>
      </w:r>
      <w:r>
        <w:rPr>
          <w:rFonts w:hint="eastAsia"/>
          <w:color w:val="auto"/>
          <w:sz w:val="28"/>
          <w:szCs w:val="21"/>
          <w:highlight w:val="none"/>
          <w:lang w:val="en-US" w:eastAsia="zh-CN"/>
        </w:rPr>
        <w:t>保护区在红谷滩区范围内面积</w:t>
      </w:r>
      <w:r>
        <w:rPr>
          <w:rFonts w:hint="eastAsia"/>
          <w:color w:val="auto"/>
          <w:sz w:val="28"/>
          <w:szCs w:val="28"/>
          <w:highlight w:val="none"/>
          <w:lang w:val="en-US" w:eastAsia="zh-CN"/>
        </w:rPr>
        <w:t>为0.4419</w:t>
      </w:r>
      <w:r>
        <w:rPr>
          <w:rFonts w:hint="eastAsia" w:ascii="仿宋_GB2312" w:hAnsi="仿宋_GB2312" w:eastAsia="仿宋_GB2312" w:cs="仿宋_GB2312"/>
          <w:color w:val="auto"/>
          <w:kern w:val="2"/>
          <w:sz w:val="28"/>
          <w:szCs w:val="28"/>
          <w:highlight w:val="none"/>
          <w:lang w:val="en-US" w:eastAsia="zh-CN"/>
        </w:rPr>
        <w:t>km</w:t>
      </w:r>
      <w:r>
        <w:rPr>
          <w:rFonts w:hint="eastAsia" w:ascii="仿宋_GB2312" w:hAnsi="仿宋_GB2312" w:eastAsia="仿宋_GB2312" w:cs="仿宋_GB2312"/>
          <w:color w:val="auto"/>
          <w:kern w:val="2"/>
          <w:sz w:val="28"/>
          <w:szCs w:val="28"/>
          <w:highlight w:val="none"/>
          <w:vertAlign w:val="superscript"/>
          <w:lang w:val="en-US" w:eastAsia="zh-CN"/>
        </w:rPr>
        <w:t>2</w:t>
      </w:r>
      <w:r>
        <w:rPr>
          <w:rFonts w:hint="eastAsia"/>
          <w:color w:val="auto"/>
          <w:sz w:val="28"/>
          <w:szCs w:val="21"/>
          <w:highlight w:val="none"/>
          <w:lang w:eastAsia="zh-CN"/>
        </w:rPr>
        <w:t>。</w:t>
      </w:r>
    </w:p>
    <w:p w14:paraId="5788B59F">
      <w:pPr>
        <w:ind w:firstLine="560"/>
        <w:rPr>
          <w:color w:val="auto"/>
          <w:sz w:val="28"/>
          <w:szCs w:val="21"/>
          <w:highlight w:val="none"/>
        </w:rPr>
      </w:pPr>
      <w:r>
        <w:rPr>
          <w:rFonts w:ascii="Times New Roman" w:hAnsi="Times New Roman" w:cs="Times New Roman"/>
          <w:color w:val="auto"/>
          <w:sz w:val="28"/>
          <w:szCs w:val="28"/>
          <w:highlight w:val="none"/>
        </w:rPr>
        <w:t>双港水厂饮用水水源保护区</w:t>
      </w:r>
      <w:r>
        <w:rPr>
          <w:rFonts w:ascii="Times New Roman" w:hAnsi="Times New Roman" w:cs="Times New Roman"/>
          <w:color w:val="auto"/>
          <w:sz w:val="28"/>
          <w:szCs w:val="24"/>
          <w:highlight w:val="none"/>
        </w:rPr>
        <w:t>于2007年</w:t>
      </w:r>
      <w:r>
        <w:rPr>
          <w:rFonts w:hint="eastAsia" w:ascii="Times New Roman" w:hAnsi="Times New Roman" w:cs="Times New Roman"/>
          <w:color w:val="auto"/>
          <w:sz w:val="28"/>
          <w:szCs w:val="24"/>
          <w:highlight w:val="none"/>
          <w:lang w:val="en-US" w:eastAsia="zh-CN"/>
        </w:rPr>
        <w:t>获得江西省人民政府批复</w:t>
      </w:r>
      <w:r>
        <w:rPr>
          <w:rFonts w:ascii="Times New Roman" w:hAnsi="Times New Roman" w:cs="Times New Roman"/>
          <w:color w:val="auto"/>
          <w:sz w:val="28"/>
          <w:szCs w:val="24"/>
          <w:highlight w:val="none"/>
        </w:rPr>
        <w:t>，属于</w:t>
      </w:r>
      <w:r>
        <w:rPr>
          <w:rFonts w:ascii="Times New Roman" w:hAnsi="Times New Roman" w:cs="Times New Roman"/>
          <w:color w:val="auto"/>
          <w:sz w:val="28"/>
          <w:szCs w:val="24"/>
          <w:highlight w:val="none"/>
          <w:lang w:eastAsia="zh-Hans"/>
        </w:rPr>
        <w:t>河流</w:t>
      </w:r>
      <w:r>
        <w:rPr>
          <w:rFonts w:ascii="Times New Roman" w:hAnsi="Times New Roman" w:cs="Times New Roman"/>
          <w:color w:val="auto"/>
          <w:sz w:val="28"/>
          <w:szCs w:val="24"/>
          <w:highlight w:val="none"/>
        </w:rPr>
        <w:t>型，</w:t>
      </w:r>
      <w:r>
        <w:rPr>
          <w:rFonts w:hint="eastAsia" w:ascii="Times New Roman" w:hAnsi="Times New Roman" w:cs="Times New Roman"/>
          <w:color w:val="auto"/>
          <w:sz w:val="28"/>
          <w:szCs w:val="24"/>
          <w:highlight w:val="none"/>
          <w:lang w:val="en-US" w:eastAsia="zh-CN"/>
        </w:rPr>
        <w:t>保护区范围</w:t>
      </w:r>
      <w:r>
        <w:rPr>
          <w:rFonts w:ascii="Times New Roman" w:hAnsi="Times New Roman" w:cs="Times New Roman"/>
          <w:color w:val="auto"/>
          <w:sz w:val="28"/>
          <w:szCs w:val="24"/>
          <w:highlight w:val="none"/>
        </w:rPr>
        <w:t>见</w:t>
      </w:r>
      <w:r>
        <w:rPr>
          <w:rFonts w:hint="eastAsia" w:ascii="Times New Roman" w:hAnsi="Times New Roman" w:cs="Times New Roman"/>
          <w:color w:val="auto"/>
          <w:sz w:val="28"/>
          <w:szCs w:val="24"/>
          <w:highlight w:val="none"/>
        </w:rPr>
        <w:t>下</w:t>
      </w:r>
      <w:r>
        <w:rPr>
          <w:rFonts w:ascii="Times New Roman" w:hAnsi="Times New Roman" w:cs="Times New Roman"/>
          <w:color w:val="auto"/>
          <w:sz w:val="28"/>
          <w:szCs w:val="24"/>
          <w:highlight w:val="none"/>
        </w:rPr>
        <w:t>表</w:t>
      </w:r>
      <w:r>
        <w:rPr>
          <w:rFonts w:hint="eastAsia"/>
          <w:color w:val="auto"/>
          <w:sz w:val="28"/>
          <w:szCs w:val="21"/>
          <w:highlight w:val="none"/>
        </w:rPr>
        <w:t>：</w:t>
      </w:r>
    </w:p>
    <w:p w14:paraId="287ECB7A">
      <w:pPr>
        <w:ind w:firstLine="0" w:firstLineChars="0"/>
        <w:jc w:val="center"/>
        <w:rPr>
          <w:color w:val="auto"/>
          <w:sz w:val="28"/>
          <w:szCs w:val="21"/>
          <w:highlight w:val="none"/>
        </w:rPr>
      </w:pPr>
      <w:r>
        <w:rPr>
          <w:rFonts w:hint="eastAsia"/>
          <w:b/>
          <w:color w:val="auto"/>
          <w:sz w:val="28"/>
          <w:szCs w:val="28"/>
          <w:highlight w:val="none"/>
        </w:rPr>
        <w:t>表</w:t>
      </w:r>
      <w:r>
        <w:rPr>
          <w:rFonts w:hint="eastAsia"/>
          <w:b/>
          <w:color w:val="auto"/>
          <w:sz w:val="28"/>
          <w:szCs w:val="28"/>
          <w:highlight w:val="none"/>
          <w:lang w:val="en-US" w:eastAsia="zh-CN"/>
        </w:rPr>
        <w:t>5</w:t>
      </w:r>
      <w:r>
        <w:rPr>
          <w:rFonts w:hint="eastAsia"/>
          <w:b/>
          <w:color w:val="auto"/>
          <w:sz w:val="28"/>
          <w:szCs w:val="28"/>
          <w:highlight w:val="none"/>
        </w:rPr>
        <w:t>.1</w:t>
      </w:r>
      <w:r>
        <w:rPr>
          <w:rFonts w:hint="eastAsia"/>
          <w:b/>
          <w:color w:val="auto"/>
          <w:sz w:val="28"/>
          <w:szCs w:val="28"/>
          <w:highlight w:val="none"/>
          <w:lang w:val="en-US" w:eastAsia="zh-CN"/>
        </w:rPr>
        <w:t>-1</w:t>
      </w:r>
      <w:r>
        <w:rPr>
          <w:rFonts w:hint="eastAsia"/>
          <w:b/>
          <w:color w:val="auto"/>
          <w:sz w:val="28"/>
          <w:szCs w:val="28"/>
          <w:highlight w:val="none"/>
        </w:rPr>
        <w:t xml:space="preserve">  饮用水源地保护区划定范围表</w:t>
      </w:r>
    </w:p>
    <w:tbl>
      <w:tblPr>
        <w:tblStyle w:val="7"/>
        <w:tblW w:w="4998" w:type="pct"/>
        <w:jc w:val="center"/>
        <w:tblLayout w:type="autofit"/>
        <w:tblCellMar>
          <w:top w:w="0" w:type="dxa"/>
          <w:left w:w="57" w:type="dxa"/>
          <w:bottom w:w="0" w:type="dxa"/>
          <w:right w:w="57" w:type="dxa"/>
        </w:tblCellMar>
      </w:tblPr>
      <w:tblGrid>
        <w:gridCol w:w="585"/>
        <w:gridCol w:w="544"/>
        <w:gridCol w:w="827"/>
        <w:gridCol w:w="1391"/>
        <w:gridCol w:w="1580"/>
        <w:gridCol w:w="2092"/>
        <w:gridCol w:w="1398"/>
      </w:tblGrid>
      <w:tr w14:paraId="03811772">
        <w:tblPrEx>
          <w:tblCellMar>
            <w:top w:w="0" w:type="dxa"/>
            <w:left w:w="57" w:type="dxa"/>
            <w:bottom w:w="0" w:type="dxa"/>
            <w:right w:w="57" w:type="dxa"/>
          </w:tblCellMar>
        </w:tblPrEx>
        <w:trPr>
          <w:trHeight w:val="425" w:hRule="atLeast"/>
          <w:tblHeader/>
          <w:jc w:val="center"/>
        </w:trPr>
        <w:tc>
          <w:tcPr>
            <w:tcW w:w="348" w:type="pct"/>
            <w:vMerge w:val="restart"/>
            <w:tcBorders>
              <w:top w:val="single" w:color="auto" w:sz="4" w:space="0"/>
              <w:left w:val="single" w:color="auto" w:sz="4" w:space="0"/>
            </w:tcBorders>
            <w:shd w:val="clear" w:color="auto" w:fill="auto"/>
            <w:vAlign w:val="center"/>
          </w:tcPr>
          <w:p w14:paraId="71DD3F51">
            <w:pPr>
              <w:pStyle w:val="10"/>
              <w:jc w:val="center"/>
              <w:rPr>
                <w:rFonts w:ascii="仿宋_GB2312" w:hAnsi="仿宋_GB2312" w:eastAsia="仿宋_GB2312" w:cs="仿宋_GB2312"/>
                <w:b/>
                <w:bCs/>
                <w:color w:val="auto"/>
                <w:kern w:val="2"/>
                <w:sz w:val="21"/>
                <w:szCs w:val="21"/>
                <w:highlight w:val="none"/>
              </w:rPr>
            </w:pPr>
            <w:r>
              <w:rPr>
                <w:rFonts w:hint="eastAsia" w:ascii="仿宋_GB2312" w:hAnsi="仿宋_GB2312" w:eastAsia="仿宋_GB2312" w:cs="仿宋_GB2312"/>
                <w:b/>
                <w:bCs/>
                <w:color w:val="auto"/>
                <w:kern w:val="2"/>
                <w:sz w:val="21"/>
                <w:szCs w:val="21"/>
                <w:highlight w:val="none"/>
              </w:rPr>
              <w:t>水源名称</w:t>
            </w:r>
          </w:p>
        </w:tc>
        <w:tc>
          <w:tcPr>
            <w:tcW w:w="323" w:type="pct"/>
            <w:vMerge w:val="restart"/>
            <w:tcBorders>
              <w:top w:val="single" w:color="auto" w:sz="4" w:space="0"/>
              <w:left w:val="single" w:color="auto" w:sz="4" w:space="0"/>
            </w:tcBorders>
            <w:shd w:val="clear" w:color="auto" w:fill="auto"/>
            <w:vAlign w:val="center"/>
          </w:tcPr>
          <w:p w14:paraId="11B9ADD6">
            <w:pPr>
              <w:pStyle w:val="10"/>
              <w:jc w:val="center"/>
              <w:rPr>
                <w:rFonts w:ascii="仿宋_GB2312" w:hAnsi="仿宋_GB2312" w:eastAsia="仿宋_GB2312" w:cs="仿宋_GB2312"/>
                <w:b/>
                <w:bCs/>
                <w:color w:val="auto"/>
                <w:kern w:val="2"/>
                <w:sz w:val="21"/>
                <w:szCs w:val="21"/>
                <w:highlight w:val="none"/>
              </w:rPr>
            </w:pPr>
            <w:r>
              <w:rPr>
                <w:rFonts w:hint="eastAsia" w:ascii="仿宋_GB2312" w:hAnsi="仿宋_GB2312" w:eastAsia="仿宋_GB2312" w:cs="仿宋_GB2312"/>
                <w:b/>
                <w:bCs/>
                <w:color w:val="auto"/>
                <w:kern w:val="2"/>
                <w:sz w:val="21"/>
                <w:szCs w:val="21"/>
                <w:highlight w:val="none"/>
              </w:rPr>
              <w:t>水源类型</w:t>
            </w:r>
          </w:p>
        </w:tc>
        <w:tc>
          <w:tcPr>
            <w:tcW w:w="491" w:type="pct"/>
            <w:vMerge w:val="restart"/>
            <w:tcBorders>
              <w:top w:val="single" w:color="auto" w:sz="4" w:space="0"/>
              <w:left w:val="single" w:color="auto" w:sz="4" w:space="0"/>
            </w:tcBorders>
            <w:shd w:val="clear" w:color="auto" w:fill="auto"/>
            <w:vAlign w:val="center"/>
          </w:tcPr>
          <w:p w14:paraId="19E01975">
            <w:pPr>
              <w:pStyle w:val="10"/>
              <w:jc w:val="center"/>
              <w:rPr>
                <w:rFonts w:ascii="仿宋_GB2312" w:hAnsi="仿宋_GB2312" w:eastAsia="仿宋_GB2312" w:cs="仿宋_GB2312"/>
                <w:b/>
                <w:bCs/>
                <w:color w:val="auto"/>
                <w:kern w:val="2"/>
                <w:sz w:val="21"/>
                <w:szCs w:val="21"/>
                <w:highlight w:val="none"/>
              </w:rPr>
            </w:pPr>
            <w:r>
              <w:rPr>
                <w:rFonts w:hint="eastAsia" w:ascii="仿宋_GB2312" w:hAnsi="仿宋_GB2312" w:eastAsia="仿宋_GB2312" w:cs="仿宋_GB2312"/>
                <w:b/>
                <w:bCs/>
                <w:color w:val="auto"/>
                <w:kern w:val="2"/>
                <w:sz w:val="21"/>
                <w:szCs w:val="21"/>
                <w:highlight w:val="none"/>
              </w:rPr>
              <w:t>取水口经纬度</w:t>
            </w:r>
          </w:p>
        </w:tc>
        <w:tc>
          <w:tcPr>
            <w:tcW w:w="1764" w:type="pct"/>
            <w:gridSpan w:val="2"/>
            <w:tcBorders>
              <w:top w:val="single" w:color="auto" w:sz="4" w:space="0"/>
              <w:left w:val="single" w:color="auto" w:sz="4" w:space="0"/>
            </w:tcBorders>
            <w:shd w:val="clear" w:color="auto" w:fill="auto"/>
            <w:vAlign w:val="center"/>
          </w:tcPr>
          <w:p w14:paraId="7F460BCB">
            <w:pPr>
              <w:pStyle w:val="10"/>
              <w:jc w:val="center"/>
              <w:rPr>
                <w:rFonts w:ascii="仿宋_GB2312" w:hAnsi="仿宋_GB2312" w:eastAsia="仿宋_GB2312" w:cs="仿宋_GB2312"/>
                <w:b/>
                <w:bCs/>
                <w:color w:val="auto"/>
                <w:kern w:val="2"/>
                <w:sz w:val="21"/>
                <w:szCs w:val="21"/>
                <w:highlight w:val="none"/>
              </w:rPr>
            </w:pPr>
            <w:r>
              <w:rPr>
                <w:rFonts w:hint="eastAsia" w:ascii="仿宋_GB2312" w:hAnsi="仿宋_GB2312" w:eastAsia="仿宋_GB2312" w:cs="仿宋_GB2312"/>
                <w:b/>
                <w:bCs/>
                <w:color w:val="auto"/>
                <w:kern w:val="2"/>
                <w:sz w:val="21"/>
                <w:szCs w:val="21"/>
                <w:highlight w:val="none"/>
              </w:rPr>
              <w:t>一级保护区</w:t>
            </w:r>
          </w:p>
        </w:tc>
        <w:tc>
          <w:tcPr>
            <w:tcW w:w="2072" w:type="pct"/>
            <w:gridSpan w:val="2"/>
            <w:tcBorders>
              <w:top w:val="single" w:color="auto" w:sz="4" w:space="0"/>
              <w:left w:val="single" w:color="auto" w:sz="4" w:space="0"/>
              <w:right w:val="single" w:color="auto" w:sz="4" w:space="0"/>
            </w:tcBorders>
            <w:shd w:val="clear" w:color="auto" w:fill="auto"/>
            <w:vAlign w:val="center"/>
          </w:tcPr>
          <w:p w14:paraId="3F33BFD1">
            <w:pPr>
              <w:pStyle w:val="10"/>
              <w:jc w:val="center"/>
              <w:rPr>
                <w:rFonts w:ascii="仿宋_GB2312" w:hAnsi="仿宋_GB2312" w:eastAsia="仿宋_GB2312" w:cs="仿宋_GB2312"/>
                <w:b/>
                <w:bCs/>
                <w:color w:val="auto"/>
                <w:kern w:val="2"/>
                <w:sz w:val="21"/>
                <w:szCs w:val="21"/>
                <w:highlight w:val="none"/>
              </w:rPr>
            </w:pPr>
            <w:r>
              <w:rPr>
                <w:rFonts w:hint="eastAsia" w:ascii="仿宋_GB2312" w:hAnsi="仿宋_GB2312" w:eastAsia="仿宋_GB2312" w:cs="仿宋_GB2312"/>
                <w:b/>
                <w:bCs/>
                <w:color w:val="auto"/>
                <w:kern w:val="2"/>
                <w:sz w:val="21"/>
                <w:szCs w:val="21"/>
                <w:highlight w:val="none"/>
              </w:rPr>
              <w:t>二级保护区</w:t>
            </w:r>
          </w:p>
        </w:tc>
      </w:tr>
      <w:tr w14:paraId="4A40887D">
        <w:tblPrEx>
          <w:tblCellMar>
            <w:top w:w="0" w:type="dxa"/>
            <w:left w:w="57" w:type="dxa"/>
            <w:bottom w:w="0" w:type="dxa"/>
            <w:right w:w="57" w:type="dxa"/>
          </w:tblCellMar>
        </w:tblPrEx>
        <w:trPr>
          <w:trHeight w:val="425" w:hRule="atLeast"/>
          <w:tblHeader/>
          <w:jc w:val="center"/>
        </w:trPr>
        <w:tc>
          <w:tcPr>
            <w:tcW w:w="348" w:type="pct"/>
            <w:vMerge w:val="continue"/>
            <w:tcBorders>
              <w:left w:val="single" w:color="auto" w:sz="4" w:space="0"/>
            </w:tcBorders>
            <w:shd w:val="clear" w:color="auto" w:fill="auto"/>
            <w:vAlign w:val="center"/>
          </w:tcPr>
          <w:p w14:paraId="12556ABD">
            <w:pPr>
              <w:pStyle w:val="10"/>
              <w:jc w:val="center"/>
              <w:rPr>
                <w:rFonts w:ascii="仿宋_GB2312" w:hAnsi="仿宋_GB2312" w:eastAsia="仿宋_GB2312" w:cs="仿宋_GB2312"/>
                <w:b/>
                <w:bCs/>
                <w:color w:val="auto"/>
                <w:kern w:val="2"/>
                <w:sz w:val="21"/>
                <w:szCs w:val="21"/>
                <w:highlight w:val="none"/>
              </w:rPr>
            </w:pPr>
          </w:p>
        </w:tc>
        <w:tc>
          <w:tcPr>
            <w:tcW w:w="323" w:type="pct"/>
            <w:vMerge w:val="continue"/>
            <w:tcBorders>
              <w:left w:val="single" w:color="auto" w:sz="4" w:space="0"/>
            </w:tcBorders>
            <w:shd w:val="clear" w:color="auto" w:fill="auto"/>
            <w:textDirection w:val="tbRlV"/>
            <w:vAlign w:val="center"/>
          </w:tcPr>
          <w:p w14:paraId="468AB9CE">
            <w:pPr>
              <w:pStyle w:val="10"/>
              <w:jc w:val="center"/>
              <w:rPr>
                <w:rFonts w:ascii="仿宋_GB2312" w:hAnsi="仿宋_GB2312" w:eastAsia="仿宋_GB2312" w:cs="仿宋_GB2312"/>
                <w:b/>
                <w:bCs/>
                <w:color w:val="auto"/>
                <w:kern w:val="2"/>
                <w:sz w:val="21"/>
                <w:szCs w:val="21"/>
                <w:highlight w:val="none"/>
              </w:rPr>
            </w:pPr>
          </w:p>
        </w:tc>
        <w:tc>
          <w:tcPr>
            <w:tcW w:w="491" w:type="pct"/>
            <w:vMerge w:val="continue"/>
            <w:tcBorders>
              <w:left w:val="single" w:color="auto" w:sz="4" w:space="0"/>
            </w:tcBorders>
            <w:shd w:val="clear" w:color="auto" w:fill="auto"/>
            <w:vAlign w:val="center"/>
          </w:tcPr>
          <w:p w14:paraId="448EE7AA">
            <w:pPr>
              <w:pStyle w:val="10"/>
              <w:jc w:val="center"/>
              <w:rPr>
                <w:rFonts w:ascii="仿宋_GB2312" w:hAnsi="仿宋_GB2312" w:eastAsia="仿宋_GB2312" w:cs="仿宋_GB2312"/>
                <w:b/>
                <w:bCs/>
                <w:color w:val="auto"/>
                <w:kern w:val="2"/>
                <w:sz w:val="21"/>
                <w:szCs w:val="21"/>
                <w:highlight w:val="none"/>
              </w:rPr>
            </w:pPr>
          </w:p>
        </w:tc>
        <w:tc>
          <w:tcPr>
            <w:tcW w:w="826" w:type="pct"/>
            <w:tcBorders>
              <w:top w:val="single" w:color="auto" w:sz="4" w:space="0"/>
              <w:left w:val="single" w:color="auto" w:sz="4" w:space="0"/>
            </w:tcBorders>
            <w:shd w:val="clear" w:color="auto" w:fill="auto"/>
            <w:vAlign w:val="center"/>
          </w:tcPr>
          <w:p w14:paraId="0D342FD4">
            <w:pPr>
              <w:pStyle w:val="10"/>
              <w:jc w:val="center"/>
              <w:rPr>
                <w:rFonts w:ascii="仿宋_GB2312" w:hAnsi="仿宋_GB2312" w:eastAsia="仿宋_GB2312" w:cs="仿宋_GB2312"/>
                <w:b/>
                <w:bCs/>
                <w:color w:val="auto"/>
                <w:kern w:val="2"/>
                <w:sz w:val="21"/>
                <w:szCs w:val="21"/>
                <w:highlight w:val="none"/>
              </w:rPr>
            </w:pPr>
            <w:r>
              <w:rPr>
                <w:rFonts w:hint="eastAsia" w:ascii="仿宋_GB2312" w:hAnsi="仿宋_GB2312" w:eastAsia="仿宋_GB2312" w:cs="仿宋_GB2312"/>
                <w:b/>
                <w:bCs/>
                <w:color w:val="auto"/>
                <w:kern w:val="2"/>
                <w:sz w:val="21"/>
                <w:szCs w:val="21"/>
                <w:highlight w:val="none"/>
              </w:rPr>
              <w:t>水域</w:t>
            </w:r>
          </w:p>
        </w:tc>
        <w:tc>
          <w:tcPr>
            <w:tcW w:w="938" w:type="pct"/>
            <w:tcBorders>
              <w:top w:val="single" w:color="auto" w:sz="4" w:space="0"/>
              <w:left w:val="single" w:color="auto" w:sz="4" w:space="0"/>
            </w:tcBorders>
            <w:shd w:val="clear" w:color="auto" w:fill="auto"/>
            <w:vAlign w:val="center"/>
          </w:tcPr>
          <w:p w14:paraId="3436CCB0">
            <w:pPr>
              <w:pStyle w:val="10"/>
              <w:jc w:val="center"/>
              <w:rPr>
                <w:rFonts w:ascii="仿宋_GB2312" w:hAnsi="仿宋_GB2312" w:eastAsia="仿宋_GB2312" w:cs="仿宋_GB2312"/>
                <w:b/>
                <w:bCs/>
                <w:color w:val="auto"/>
                <w:kern w:val="2"/>
                <w:sz w:val="21"/>
                <w:szCs w:val="21"/>
                <w:highlight w:val="none"/>
              </w:rPr>
            </w:pPr>
            <w:r>
              <w:rPr>
                <w:rFonts w:hint="eastAsia" w:ascii="仿宋_GB2312" w:hAnsi="仿宋_GB2312" w:eastAsia="仿宋_GB2312" w:cs="仿宋_GB2312"/>
                <w:b/>
                <w:bCs/>
                <w:color w:val="auto"/>
                <w:kern w:val="2"/>
                <w:sz w:val="21"/>
                <w:szCs w:val="21"/>
                <w:highlight w:val="none"/>
              </w:rPr>
              <w:t>陆域</w:t>
            </w:r>
          </w:p>
        </w:tc>
        <w:tc>
          <w:tcPr>
            <w:tcW w:w="1242" w:type="pct"/>
            <w:tcBorders>
              <w:top w:val="single" w:color="auto" w:sz="4" w:space="0"/>
              <w:left w:val="single" w:color="auto" w:sz="4" w:space="0"/>
            </w:tcBorders>
            <w:shd w:val="clear" w:color="auto" w:fill="auto"/>
            <w:vAlign w:val="center"/>
          </w:tcPr>
          <w:p w14:paraId="6A3E767C">
            <w:pPr>
              <w:pStyle w:val="10"/>
              <w:jc w:val="center"/>
              <w:rPr>
                <w:rFonts w:ascii="仿宋_GB2312" w:hAnsi="仿宋_GB2312" w:eastAsia="仿宋_GB2312" w:cs="仿宋_GB2312"/>
                <w:b/>
                <w:bCs/>
                <w:color w:val="auto"/>
                <w:kern w:val="2"/>
                <w:sz w:val="21"/>
                <w:szCs w:val="21"/>
                <w:highlight w:val="none"/>
              </w:rPr>
            </w:pPr>
            <w:r>
              <w:rPr>
                <w:rFonts w:hint="eastAsia" w:ascii="仿宋_GB2312" w:hAnsi="仿宋_GB2312" w:eastAsia="仿宋_GB2312" w:cs="仿宋_GB2312"/>
                <w:b/>
                <w:bCs/>
                <w:color w:val="auto"/>
                <w:kern w:val="2"/>
                <w:sz w:val="21"/>
                <w:szCs w:val="21"/>
                <w:highlight w:val="none"/>
              </w:rPr>
              <w:t>水域</w:t>
            </w:r>
          </w:p>
        </w:tc>
        <w:tc>
          <w:tcPr>
            <w:tcW w:w="830" w:type="pct"/>
            <w:tcBorders>
              <w:top w:val="single" w:color="auto" w:sz="4" w:space="0"/>
              <w:left w:val="single" w:color="auto" w:sz="4" w:space="0"/>
              <w:right w:val="single" w:color="auto" w:sz="4" w:space="0"/>
            </w:tcBorders>
            <w:shd w:val="clear" w:color="auto" w:fill="auto"/>
            <w:vAlign w:val="center"/>
          </w:tcPr>
          <w:p w14:paraId="1257B052">
            <w:pPr>
              <w:pStyle w:val="10"/>
              <w:jc w:val="center"/>
              <w:rPr>
                <w:rFonts w:ascii="仿宋_GB2312" w:hAnsi="仿宋_GB2312" w:eastAsia="仿宋_GB2312" w:cs="仿宋_GB2312"/>
                <w:b/>
                <w:bCs/>
                <w:color w:val="auto"/>
                <w:kern w:val="2"/>
                <w:sz w:val="21"/>
                <w:szCs w:val="21"/>
                <w:highlight w:val="none"/>
              </w:rPr>
            </w:pPr>
            <w:r>
              <w:rPr>
                <w:rFonts w:hint="eastAsia" w:ascii="仿宋_GB2312" w:hAnsi="仿宋_GB2312" w:eastAsia="仿宋_GB2312" w:cs="仿宋_GB2312"/>
                <w:b/>
                <w:bCs/>
                <w:color w:val="auto"/>
                <w:kern w:val="2"/>
                <w:sz w:val="21"/>
                <w:szCs w:val="21"/>
                <w:highlight w:val="none"/>
              </w:rPr>
              <w:t>陆域</w:t>
            </w:r>
          </w:p>
        </w:tc>
      </w:tr>
      <w:tr w14:paraId="45C1E9E4">
        <w:tblPrEx>
          <w:tblCellMar>
            <w:top w:w="0" w:type="dxa"/>
            <w:left w:w="57" w:type="dxa"/>
            <w:bottom w:w="0" w:type="dxa"/>
            <w:right w:w="57" w:type="dxa"/>
          </w:tblCellMar>
        </w:tblPrEx>
        <w:trPr>
          <w:trHeight w:val="425" w:hRule="atLeast"/>
          <w:jc w:val="center"/>
        </w:trPr>
        <w:tc>
          <w:tcPr>
            <w:tcW w:w="348" w:type="pct"/>
            <w:tcBorders>
              <w:top w:val="single" w:color="auto" w:sz="4" w:space="0"/>
              <w:left w:val="single" w:color="auto" w:sz="4" w:space="0"/>
              <w:bottom w:val="single" w:color="auto" w:sz="4" w:space="0"/>
            </w:tcBorders>
            <w:shd w:val="clear" w:color="auto" w:fill="auto"/>
            <w:vAlign w:val="center"/>
          </w:tcPr>
          <w:p w14:paraId="2255BEF2">
            <w:pPr>
              <w:pStyle w:val="10"/>
              <w:jc w:val="center"/>
              <w:rPr>
                <w:rFonts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双港水厂饮用水源地</w:t>
            </w:r>
          </w:p>
        </w:tc>
        <w:tc>
          <w:tcPr>
            <w:tcW w:w="323" w:type="pct"/>
            <w:tcBorders>
              <w:top w:val="single" w:color="auto" w:sz="4" w:space="0"/>
              <w:left w:val="single" w:color="auto" w:sz="4" w:space="0"/>
              <w:bottom w:val="single" w:color="auto" w:sz="4" w:space="0"/>
            </w:tcBorders>
            <w:shd w:val="clear" w:color="auto" w:fill="auto"/>
            <w:vAlign w:val="center"/>
          </w:tcPr>
          <w:p w14:paraId="024EE042">
            <w:pPr>
              <w:pStyle w:val="10"/>
              <w:jc w:val="center"/>
              <w:rPr>
                <w:rFonts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河流型</w:t>
            </w:r>
          </w:p>
        </w:tc>
        <w:tc>
          <w:tcPr>
            <w:tcW w:w="491" w:type="pct"/>
            <w:tcBorders>
              <w:top w:val="single" w:color="auto" w:sz="4" w:space="0"/>
              <w:left w:val="single" w:color="auto" w:sz="4" w:space="0"/>
              <w:bottom w:val="single" w:color="auto" w:sz="4" w:space="0"/>
            </w:tcBorders>
            <w:shd w:val="clear" w:color="auto" w:fill="auto"/>
            <w:vAlign w:val="center"/>
          </w:tcPr>
          <w:p w14:paraId="6AB7FA94">
            <w:pPr>
              <w:spacing w:line="240" w:lineRule="auto"/>
              <w:ind w:firstLine="0" w:firstLineChars="0"/>
              <w:jc w:val="center"/>
              <w:rPr>
                <w:rFonts w:cs="仿宋_GB2312"/>
                <w:color w:val="auto"/>
                <w:kern w:val="2"/>
                <w:sz w:val="21"/>
                <w:szCs w:val="21"/>
                <w:highlight w:val="none"/>
              </w:rPr>
            </w:pPr>
            <w:r>
              <w:rPr>
                <w:rFonts w:hint="eastAsia" w:cs="仿宋_GB2312"/>
                <w:color w:val="auto"/>
                <w:kern w:val="2"/>
                <w:sz w:val="21"/>
                <w:szCs w:val="21"/>
                <w:highlight w:val="none"/>
              </w:rPr>
              <w:t>E115°53′3.19″</w:t>
            </w:r>
          </w:p>
          <w:p w14:paraId="41A5A0BF">
            <w:pPr>
              <w:spacing w:line="240" w:lineRule="auto"/>
              <w:ind w:firstLine="0" w:firstLineChars="0"/>
              <w:jc w:val="center"/>
              <w:rPr>
                <w:rFonts w:cs="仿宋_GB2312"/>
                <w:color w:val="auto"/>
                <w:kern w:val="2"/>
                <w:sz w:val="21"/>
                <w:szCs w:val="21"/>
                <w:highlight w:val="none"/>
              </w:rPr>
            </w:pPr>
            <w:r>
              <w:rPr>
                <w:rFonts w:hint="eastAsia" w:cs="仿宋_GB2312"/>
                <w:color w:val="auto"/>
                <w:kern w:val="2"/>
                <w:sz w:val="21"/>
                <w:szCs w:val="21"/>
                <w:highlight w:val="none"/>
              </w:rPr>
              <w:t>N28°43′10.44″</w:t>
            </w:r>
          </w:p>
          <w:p w14:paraId="121879CC">
            <w:pPr>
              <w:pStyle w:val="10"/>
              <w:jc w:val="center"/>
              <w:rPr>
                <w:rFonts w:ascii="仿宋_GB2312" w:hAnsi="仿宋_GB2312" w:eastAsia="仿宋_GB2312" w:cs="仿宋_GB2312"/>
                <w:color w:val="auto"/>
                <w:kern w:val="2"/>
                <w:sz w:val="21"/>
                <w:szCs w:val="21"/>
                <w:highlight w:val="none"/>
              </w:rPr>
            </w:pPr>
          </w:p>
        </w:tc>
        <w:tc>
          <w:tcPr>
            <w:tcW w:w="826" w:type="pct"/>
            <w:tcBorders>
              <w:top w:val="single" w:color="auto" w:sz="4" w:space="0"/>
              <w:left w:val="single" w:color="auto" w:sz="4" w:space="0"/>
              <w:bottom w:val="single" w:color="auto" w:sz="4" w:space="0"/>
            </w:tcBorders>
            <w:shd w:val="clear" w:color="auto" w:fill="auto"/>
            <w:vAlign w:val="center"/>
          </w:tcPr>
          <w:p w14:paraId="3FA1D6D4">
            <w:pPr>
              <w:pStyle w:val="10"/>
              <w:jc w:val="center"/>
              <w:rPr>
                <w:rFonts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长度：自取水点算起，上游1000m至下游100m范围；</w:t>
            </w:r>
          </w:p>
          <w:p w14:paraId="33828DB4">
            <w:pPr>
              <w:pStyle w:val="10"/>
              <w:jc w:val="center"/>
              <w:rPr>
                <w:rFonts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宽度：以河道中弘线为界，靠取水口一侧的范围</w:t>
            </w:r>
            <w:r>
              <w:rPr>
                <w:rFonts w:hint="eastAsia" w:ascii="仿宋_GB2312" w:hAnsi="仿宋_GB2312" w:eastAsia="仿宋_GB2312" w:cs="仿宋_GB2312"/>
                <w:color w:val="auto"/>
                <w:kern w:val="2"/>
                <w:sz w:val="21"/>
                <w:szCs w:val="21"/>
                <w:highlight w:val="none"/>
                <w:lang w:eastAsia="zh-CN"/>
              </w:rPr>
              <w:t>；</w:t>
            </w:r>
            <w:r>
              <w:rPr>
                <w:rFonts w:hint="eastAsia" w:ascii="仿宋_GB2312" w:hAnsi="仿宋_GB2312" w:eastAsia="仿宋_GB2312" w:cs="仿宋_GB2312"/>
                <w:color w:val="auto"/>
                <w:kern w:val="2"/>
                <w:sz w:val="21"/>
                <w:szCs w:val="21"/>
                <w:highlight w:val="none"/>
              </w:rPr>
              <w:t>面积</w:t>
            </w:r>
            <w:r>
              <w:rPr>
                <w:rFonts w:hint="eastAsia" w:ascii="仿宋_GB2312" w:hAnsi="仿宋_GB2312" w:eastAsia="仿宋_GB2312" w:cs="仿宋_GB2312"/>
                <w:color w:val="auto"/>
                <w:kern w:val="2"/>
                <w:sz w:val="21"/>
                <w:szCs w:val="21"/>
                <w:highlight w:val="none"/>
                <w:lang w:val="en-US" w:eastAsia="zh-CN"/>
              </w:rPr>
              <w:t>0.238km</w:t>
            </w:r>
            <w:r>
              <w:rPr>
                <w:rFonts w:hint="eastAsia" w:ascii="仿宋_GB2312" w:hAnsi="仿宋_GB2312" w:eastAsia="仿宋_GB2312" w:cs="仿宋_GB2312"/>
                <w:color w:val="auto"/>
                <w:kern w:val="2"/>
                <w:sz w:val="21"/>
                <w:szCs w:val="21"/>
                <w:highlight w:val="none"/>
                <w:vertAlign w:val="superscript"/>
                <w:lang w:val="en-US" w:eastAsia="zh-CN"/>
              </w:rPr>
              <w:t>2</w:t>
            </w:r>
            <w:r>
              <w:rPr>
                <w:rFonts w:hint="eastAsia" w:ascii="仿宋_GB2312" w:hAnsi="仿宋_GB2312" w:eastAsia="仿宋_GB2312" w:cs="仿宋_GB2312"/>
                <w:color w:val="auto"/>
                <w:kern w:val="2"/>
                <w:sz w:val="21"/>
                <w:szCs w:val="21"/>
                <w:highlight w:val="none"/>
              </w:rPr>
              <w:t>。</w:t>
            </w:r>
          </w:p>
        </w:tc>
        <w:tc>
          <w:tcPr>
            <w:tcW w:w="938" w:type="pct"/>
            <w:tcBorders>
              <w:top w:val="single" w:color="auto" w:sz="4" w:space="0"/>
              <w:left w:val="single" w:color="auto" w:sz="4" w:space="0"/>
              <w:bottom w:val="single" w:color="auto" w:sz="4" w:space="0"/>
            </w:tcBorders>
            <w:shd w:val="clear" w:color="auto" w:fill="auto"/>
            <w:vAlign w:val="center"/>
          </w:tcPr>
          <w:p w14:paraId="311FE39F">
            <w:pPr>
              <w:pStyle w:val="10"/>
              <w:jc w:val="center"/>
              <w:rPr>
                <w:rFonts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长度：和水域等长。</w:t>
            </w:r>
          </w:p>
          <w:p w14:paraId="1383164E">
            <w:pPr>
              <w:pStyle w:val="10"/>
              <w:jc w:val="center"/>
              <w:rPr>
                <w:rFonts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宽度：取水口一侧的滩地以及迎水面堤脚向背水面延伸至防洪堤脚内侧的范围</w:t>
            </w:r>
            <w:r>
              <w:rPr>
                <w:rFonts w:hint="eastAsia" w:ascii="仿宋_GB2312" w:hAnsi="仿宋_GB2312" w:eastAsia="仿宋_GB2312" w:cs="仿宋_GB2312"/>
                <w:color w:val="auto"/>
                <w:kern w:val="2"/>
                <w:sz w:val="21"/>
                <w:szCs w:val="21"/>
                <w:highlight w:val="none"/>
                <w:lang w:eastAsia="zh-CN"/>
              </w:rPr>
              <w:t>；</w:t>
            </w:r>
            <w:r>
              <w:rPr>
                <w:rFonts w:hint="eastAsia" w:ascii="仿宋_GB2312" w:hAnsi="仿宋_GB2312" w:eastAsia="仿宋_GB2312" w:cs="仿宋_GB2312"/>
                <w:color w:val="auto"/>
                <w:kern w:val="2"/>
                <w:sz w:val="21"/>
                <w:szCs w:val="21"/>
                <w:highlight w:val="none"/>
              </w:rPr>
              <w:t>面积0.</w:t>
            </w:r>
            <w:r>
              <w:rPr>
                <w:rFonts w:hint="eastAsia" w:ascii="仿宋_GB2312" w:hAnsi="仿宋_GB2312" w:eastAsia="仿宋_GB2312" w:cs="仿宋_GB2312"/>
                <w:color w:val="auto"/>
                <w:kern w:val="2"/>
                <w:sz w:val="21"/>
                <w:szCs w:val="21"/>
                <w:highlight w:val="none"/>
                <w:lang w:val="en-US" w:eastAsia="zh-CN"/>
              </w:rPr>
              <w:t>067km</w:t>
            </w:r>
            <w:r>
              <w:rPr>
                <w:rFonts w:hint="eastAsia" w:ascii="仿宋_GB2312" w:hAnsi="仿宋_GB2312" w:eastAsia="仿宋_GB2312" w:cs="仿宋_GB2312"/>
                <w:color w:val="auto"/>
                <w:kern w:val="2"/>
                <w:sz w:val="21"/>
                <w:szCs w:val="21"/>
                <w:highlight w:val="none"/>
                <w:vertAlign w:val="superscript"/>
                <w:lang w:val="en-US" w:eastAsia="zh-CN"/>
              </w:rPr>
              <w:t>2</w:t>
            </w:r>
            <w:r>
              <w:rPr>
                <w:rFonts w:hint="eastAsia" w:ascii="仿宋_GB2312" w:hAnsi="仿宋_GB2312" w:eastAsia="仿宋_GB2312" w:cs="仿宋_GB2312"/>
                <w:color w:val="auto"/>
                <w:kern w:val="2"/>
                <w:sz w:val="21"/>
                <w:szCs w:val="21"/>
                <w:highlight w:val="none"/>
              </w:rPr>
              <w:t>。</w:t>
            </w:r>
          </w:p>
        </w:tc>
        <w:tc>
          <w:tcPr>
            <w:tcW w:w="1242" w:type="pct"/>
            <w:tcBorders>
              <w:top w:val="single" w:color="auto" w:sz="4" w:space="0"/>
              <w:left w:val="single" w:color="auto" w:sz="4" w:space="0"/>
              <w:bottom w:val="single" w:color="auto" w:sz="4" w:space="0"/>
            </w:tcBorders>
            <w:shd w:val="clear" w:color="auto" w:fill="auto"/>
            <w:vAlign w:val="center"/>
          </w:tcPr>
          <w:p w14:paraId="48DDCE6D">
            <w:pPr>
              <w:pStyle w:val="10"/>
              <w:jc w:val="center"/>
              <w:rPr>
                <w:rFonts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长度：自一级保护区上界起上溯2300m（至长堎、牛行水厂一级保护区下界）范围；宽度：整个河道以及一级保护区水域向取水口相对一侧扩展至整个河道的范围</w:t>
            </w:r>
            <w:r>
              <w:rPr>
                <w:rFonts w:hint="eastAsia" w:ascii="仿宋_GB2312" w:hAnsi="仿宋_GB2312" w:eastAsia="仿宋_GB2312" w:cs="仿宋_GB2312"/>
                <w:color w:val="auto"/>
                <w:kern w:val="2"/>
                <w:sz w:val="21"/>
                <w:szCs w:val="21"/>
                <w:highlight w:val="none"/>
                <w:lang w:eastAsia="zh-CN"/>
              </w:rPr>
              <w:t>；</w:t>
            </w:r>
            <w:r>
              <w:rPr>
                <w:rFonts w:hint="eastAsia" w:ascii="仿宋_GB2312" w:hAnsi="仿宋_GB2312" w:eastAsia="仿宋_GB2312" w:cs="仿宋_GB2312"/>
                <w:color w:val="auto"/>
                <w:kern w:val="2"/>
                <w:sz w:val="21"/>
                <w:szCs w:val="21"/>
                <w:highlight w:val="none"/>
              </w:rPr>
              <w:t>面积</w:t>
            </w:r>
            <w:r>
              <w:rPr>
                <w:rFonts w:hint="eastAsia" w:ascii="仿宋_GB2312" w:hAnsi="仿宋_GB2312" w:eastAsia="仿宋_GB2312" w:cs="仿宋_GB2312"/>
                <w:color w:val="auto"/>
                <w:kern w:val="2"/>
                <w:sz w:val="21"/>
                <w:szCs w:val="21"/>
                <w:highlight w:val="none"/>
                <w:lang w:val="en-US" w:eastAsia="zh-CN"/>
              </w:rPr>
              <w:t>1.464km</w:t>
            </w:r>
            <w:r>
              <w:rPr>
                <w:rFonts w:hint="eastAsia" w:ascii="仿宋_GB2312" w:hAnsi="仿宋_GB2312" w:eastAsia="仿宋_GB2312" w:cs="仿宋_GB2312"/>
                <w:color w:val="auto"/>
                <w:kern w:val="2"/>
                <w:sz w:val="21"/>
                <w:szCs w:val="21"/>
                <w:highlight w:val="none"/>
                <w:vertAlign w:val="superscript"/>
                <w:lang w:val="en-US" w:eastAsia="zh-CN"/>
              </w:rPr>
              <w:t>2</w:t>
            </w:r>
            <w:r>
              <w:rPr>
                <w:rFonts w:hint="eastAsia" w:ascii="仿宋_GB2312" w:hAnsi="仿宋_GB2312" w:eastAsia="仿宋_GB2312" w:cs="仿宋_GB2312"/>
                <w:color w:val="auto"/>
                <w:kern w:val="2"/>
                <w:sz w:val="21"/>
                <w:szCs w:val="21"/>
                <w:highlight w:val="none"/>
              </w:rPr>
              <w:t>。</w:t>
            </w:r>
          </w:p>
        </w:tc>
        <w:tc>
          <w:tcPr>
            <w:tcW w:w="830" w:type="pct"/>
            <w:tcBorders>
              <w:top w:val="single" w:color="auto" w:sz="4" w:space="0"/>
              <w:left w:val="single" w:color="auto" w:sz="4" w:space="0"/>
              <w:bottom w:val="single" w:color="auto" w:sz="4" w:space="0"/>
              <w:right w:val="single" w:color="auto" w:sz="4" w:space="0"/>
            </w:tcBorders>
            <w:shd w:val="clear" w:color="auto" w:fill="auto"/>
            <w:vAlign w:val="center"/>
          </w:tcPr>
          <w:p w14:paraId="4C62DB44">
            <w:pPr>
              <w:pStyle w:val="10"/>
              <w:jc w:val="center"/>
              <w:rPr>
                <w:rFonts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长度：和水域等长。</w:t>
            </w:r>
          </w:p>
          <w:p w14:paraId="1D106E99">
            <w:pPr>
              <w:pStyle w:val="10"/>
              <w:jc w:val="center"/>
              <w:rPr>
                <w:rFonts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宽度：取水口一侧的滩地以及迎水面堤脚向背水面延伸至防洪堤脚内侧的范围</w:t>
            </w:r>
            <w:r>
              <w:rPr>
                <w:rFonts w:hint="eastAsia" w:ascii="仿宋_GB2312" w:hAnsi="仿宋_GB2312" w:eastAsia="仿宋_GB2312" w:cs="仿宋_GB2312"/>
                <w:color w:val="auto"/>
                <w:kern w:val="2"/>
                <w:sz w:val="21"/>
                <w:szCs w:val="21"/>
                <w:highlight w:val="none"/>
                <w:lang w:eastAsia="zh-CN"/>
              </w:rPr>
              <w:t>；</w:t>
            </w:r>
            <w:r>
              <w:rPr>
                <w:rFonts w:hint="eastAsia" w:ascii="仿宋_GB2312" w:hAnsi="仿宋_GB2312" w:eastAsia="仿宋_GB2312" w:cs="仿宋_GB2312"/>
                <w:color w:val="auto"/>
                <w:kern w:val="2"/>
                <w:sz w:val="21"/>
                <w:szCs w:val="21"/>
                <w:highlight w:val="none"/>
              </w:rPr>
              <w:t>面积0.</w:t>
            </w:r>
            <w:r>
              <w:rPr>
                <w:rFonts w:hint="eastAsia" w:ascii="仿宋_GB2312" w:hAnsi="仿宋_GB2312" w:eastAsia="仿宋_GB2312" w:cs="仿宋_GB2312"/>
                <w:color w:val="auto"/>
                <w:kern w:val="2"/>
                <w:sz w:val="21"/>
                <w:szCs w:val="21"/>
                <w:highlight w:val="none"/>
                <w:lang w:val="en-US" w:eastAsia="zh-CN"/>
              </w:rPr>
              <w:t>059km</w:t>
            </w:r>
            <w:r>
              <w:rPr>
                <w:rFonts w:hint="eastAsia" w:ascii="仿宋_GB2312" w:hAnsi="仿宋_GB2312" w:eastAsia="仿宋_GB2312" w:cs="仿宋_GB2312"/>
                <w:color w:val="auto"/>
                <w:kern w:val="2"/>
                <w:sz w:val="21"/>
                <w:szCs w:val="21"/>
                <w:highlight w:val="none"/>
                <w:vertAlign w:val="superscript"/>
                <w:lang w:val="en-US" w:eastAsia="zh-CN"/>
              </w:rPr>
              <w:t>2</w:t>
            </w:r>
            <w:r>
              <w:rPr>
                <w:rFonts w:hint="eastAsia" w:ascii="仿宋_GB2312" w:hAnsi="仿宋_GB2312" w:eastAsia="仿宋_GB2312" w:cs="仿宋_GB2312"/>
                <w:color w:val="auto"/>
                <w:kern w:val="2"/>
                <w:sz w:val="21"/>
                <w:szCs w:val="21"/>
                <w:highlight w:val="none"/>
              </w:rPr>
              <w:t>。</w:t>
            </w:r>
          </w:p>
        </w:tc>
      </w:tr>
    </w:tbl>
    <w:p w14:paraId="61E3B323">
      <w:pPr>
        <w:ind w:left="0" w:leftChars="0" w:firstLine="0" w:firstLineChars="0"/>
        <w:rPr>
          <w:b/>
          <w:bCs/>
          <w:color w:val="auto"/>
          <w:highlight w:val="none"/>
        </w:rPr>
      </w:pPr>
      <w:r>
        <w:rPr>
          <w:rFonts w:hint="eastAsia"/>
          <w:b/>
          <w:bCs/>
          <w:color w:val="auto"/>
          <w:highlight w:val="none"/>
          <w:lang w:val="en-US" w:eastAsia="zh-CN"/>
        </w:rPr>
        <w:t>5.1.2</w:t>
      </w:r>
      <w:r>
        <w:rPr>
          <w:rFonts w:hint="eastAsia"/>
          <w:b/>
          <w:bCs/>
          <w:color w:val="auto"/>
          <w:highlight w:val="none"/>
        </w:rPr>
        <w:t>红角洲水厂饮用水源地</w:t>
      </w:r>
    </w:p>
    <w:p w14:paraId="5915B3DC">
      <w:pPr>
        <w:ind w:firstLine="560"/>
        <w:rPr>
          <w:rFonts w:eastAsia="仿宋"/>
          <w:color w:val="auto"/>
          <w:sz w:val="28"/>
          <w:szCs w:val="21"/>
          <w:highlight w:val="none"/>
        </w:rPr>
      </w:pPr>
      <w:r>
        <w:rPr>
          <w:rFonts w:hint="eastAsia"/>
          <w:color w:val="auto"/>
          <w:sz w:val="28"/>
          <w:szCs w:val="21"/>
          <w:highlight w:val="none"/>
        </w:rPr>
        <w:t>红角洲水厂</w:t>
      </w:r>
      <w:r>
        <w:rPr>
          <w:rFonts w:hint="eastAsia" w:ascii="Times New Roman" w:hAnsi="Times New Roman" w:eastAsia="仿宋" w:cs="Times New Roman"/>
          <w:color w:val="auto"/>
          <w:sz w:val="28"/>
          <w:szCs w:val="28"/>
          <w:highlight w:val="none"/>
          <w:lang w:val="en-US" w:eastAsia="zh-CN"/>
        </w:rPr>
        <w:t>水</w:t>
      </w:r>
      <w:r>
        <w:rPr>
          <w:rFonts w:ascii="Times New Roman" w:hAnsi="Times New Roman" w:cs="Times New Roman"/>
          <w:color w:val="auto"/>
          <w:sz w:val="28"/>
          <w:szCs w:val="28"/>
          <w:highlight w:val="none"/>
        </w:rPr>
        <w:t>源地取水来自赣江</w:t>
      </w:r>
      <w:r>
        <w:rPr>
          <w:rFonts w:hint="eastAsia" w:ascii="Times New Roman" w:hAnsi="Times New Roman" w:eastAsia="仿宋" w:cs="Times New Roman"/>
          <w:color w:val="auto"/>
          <w:sz w:val="28"/>
          <w:szCs w:val="28"/>
          <w:highlight w:val="none"/>
        </w:rPr>
        <w:t>，</w:t>
      </w:r>
      <w:r>
        <w:rPr>
          <w:rFonts w:hint="eastAsia" w:ascii="Times New Roman" w:hAnsi="Times New Roman" w:eastAsia="仿宋" w:cs="Times New Roman"/>
          <w:color w:val="auto"/>
          <w:sz w:val="28"/>
          <w:szCs w:val="28"/>
          <w:highlight w:val="none"/>
          <w:lang w:val="en-US" w:eastAsia="zh-CN"/>
        </w:rPr>
        <w:t>设有1个取水口，服务范围</w:t>
      </w:r>
      <w:r>
        <w:rPr>
          <w:rFonts w:ascii="Times New Roman" w:hAnsi="Times New Roman" w:eastAsia="仿宋" w:cs="Times New Roman"/>
          <w:color w:val="auto"/>
          <w:sz w:val="28"/>
          <w:szCs w:val="28"/>
          <w:highlight w:val="none"/>
        </w:rPr>
        <w:t>为</w:t>
      </w:r>
      <w:r>
        <w:rPr>
          <w:rFonts w:ascii="Times New Roman" w:hAnsi="Times New Roman" w:cs="Times New Roman"/>
          <w:color w:val="auto"/>
          <w:sz w:val="28"/>
          <w:szCs w:val="28"/>
          <w:highlight w:val="none"/>
          <w:lang w:bidi="ar"/>
        </w:rPr>
        <w:t>望城开发区、祥云大道以南区域以及红角洲部分区域</w:t>
      </w:r>
      <w:r>
        <w:rPr>
          <w:rFonts w:ascii="Times New Roman" w:hAnsi="Times New Roman" w:cs="Times New Roman"/>
          <w:color w:val="auto"/>
          <w:sz w:val="28"/>
          <w:szCs w:val="28"/>
          <w:highlight w:val="none"/>
        </w:rPr>
        <w:t>，供水人数共计36万人，日供水规模20万吨</w:t>
      </w:r>
      <w:r>
        <w:rPr>
          <w:rFonts w:hint="eastAsia"/>
          <w:color w:val="auto"/>
          <w:sz w:val="28"/>
          <w:szCs w:val="21"/>
          <w:highlight w:val="none"/>
        </w:rPr>
        <w:t>，取水口中心地理坐标为：E115°48′47.06″，N28°36′25.36″</w:t>
      </w:r>
      <w:r>
        <w:rPr>
          <w:rFonts w:hint="eastAsia"/>
          <w:color w:val="auto"/>
          <w:sz w:val="28"/>
          <w:szCs w:val="21"/>
          <w:highlight w:val="none"/>
          <w:lang w:eastAsia="zh-CN"/>
        </w:rPr>
        <w:t>，</w:t>
      </w:r>
      <w:r>
        <w:rPr>
          <w:rFonts w:hint="eastAsia"/>
          <w:color w:val="auto"/>
          <w:sz w:val="28"/>
          <w:szCs w:val="21"/>
          <w:highlight w:val="none"/>
          <w:lang w:val="en-US" w:eastAsia="zh-CN"/>
        </w:rPr>
        <w:t>红角洲</w:t>
      </w:r>
      <w:r>
        <w:rPr>
          <w:rFonts w:hint="eastAsia"/>
          <w:color w:val="auto"/>
          <w:sz w:val="28"/>
          <w:szCs w:val="21"/>
          <w:highlight w:val="none"/>
          <w:lang w:eastAsia="zh-CN"/>
        </w:rPr>
        <w:t>水厂饮用水源地</w:t>
      </w:r>
      <w:r>
        <w:rPr>
          <w:rFonts w:hint="eastAsia"/>
          <w:color w:val="auto"/>
          <w:sz w:val="28"/>
          <w:szCs w:val="21"/>
          <w:highlight w:val="none"/>
          <w:lang w:val="en-US" w:eastAsia="zh-CN"/>
        </w:rPr>
        <w:t>保护区在红谷滩区范围内面积</w:t>
      </w:r>
      <w:r>
        <w:rPr>
          <w:rFonts w:hint="eastAsia"/>
          <w:color w:val="auto"/>
          <w:sz w:val="28"/>
          <w:szCs w:val="28"/>
          <w:highlight w:val="none"/>
          <w:lang w:val="en-US" w:eastAsia="zh-CN"/>
        </w:rPr>
        <w:t>为5.7158</w:t>
      </w:r>
      <w:r>
        <w:rPr>
          <w:rFonts w:hint="eastAsia" w:ascii="仿宋_GB2312" w:hAnsi="仿宋_GB2312" w:eastAsia="仿宋_GB2312" w:cs="仿宋_GB2312"/>
          <w:color w:val="auto"/>
          <w:kern w:val="2"/>
          <w:sz w:val="28"/>
          <w:szCs w:val="28"/>
          <w:highlight w:val="none"/>
          <w:lang w:val="en-US" w:eastAsia="zh-CN"/>
        </w:rPr>
        <w:t>km</w:t>
      </w:r>
      <w:r>
        <w:rPr>
          <w:rFonts w:hint="eastAsia" w:ascii="仿宋_GB2312" w:hAnsi="仿宋_GB2312" w:eastAsia="仿宋_GB2312" w:cs="仿宋_GB2312"/>
          <w:color w:val="auto"/>
          <w:kern w:val="2"/>
          <w:sz w:val="28"/>
          <w:szCs w:val="28"/>
          <w:highlight w:val="none"/>
          <w:vertAlign w:val="superscript"/>
          <w:lang w:val="en-US" w:eastAsia="zh-CN"/>
        </w:rPr>
        <w:t>2</w:t>
      </w:r>
      <w:r>
        <w:rPr>
          <w:rFonts w:hint="eastAsia"/>
          <w:color w:val="auto"/>
          <w:sz w:val="28"/>
          <w:szCs w:val="21"/>
          <w:highlight w:val="none"/>
        </w:rPr>
        <w:t>。</w:t>
      </w:r>
    </w:p>
    <w:p w14:paraId="6FFCF837">
      <w:pPr>
        <w:ind w:firstLine="560"/>
        <w:rPr>
          <w:b/>
          <w:color w:val="auto"/>
          <w:sz w:val="28"/>
          <w:szCs w:val="28"/>
          <w:highlight w:val="none"/>
        </w:rPr>
      </w:pPr>
      <w:r>
        <w:rPr>
          <w:rFonts w:hint="eastAsia" w:ascii="Times New Roman" w:hAnsi="Times New Roman" w:cs="Times New Roman"/>
          <w:color w:val="auto"/>
          <w:sz w:val="28"/>
          <w:szCs w:val="28"/>
          <w:highlight w:val="none"/>
        </w:rPr>
        <w:t>红角洲</w:t>
      </w:r>
      <w:r>
        <w:rPr>
          <w:rFonts w:ascii="Times New Roman" w:hAnsi="Times New Roman" w:cs="Times New Roman"/>
          <w:color w:val="auto"/>
          <w:sz w:val="28"/>
          <w:szCs w:val="28"/>
          <w:highlight w:val="none"/>
        </w:rPr>
        <w:t>水厂饮用水水源保护区</w:t>
      </w:r>
      <w:r>
        <w:rPr>
          <w:rFonts w:ascii="Times New Roman" w:hAnsi="Times New Roman" w:cs="Times New Roman"/>
          <w:color w:val="auto"/>
          <w:sz w:val="28"/>
          <w:szCs w:val="24"/>
          <w:highlight w:val="none"/>
        </w:rPr>
        <w:t>于20</w:t>
      </w:r>
      <w:r>
        <w:rPr>
          <w:rFonts w:hint="eastAsia" w:ascii="Times New Roman" w:hAnsi="Times New Roman" w:cs="Times New Roman"/>
          <w:color w:val="auto"/>
          <w:sz w:val="28"/>
          <w:szCs w:val="24"/>
          <w:highlight w:val="none"/>
        </w:rPr>
        <w:t>16</w:t>
      </w:r>
      <w:r>
        <w:rPr>
          <w:rFonts w:ascii="Times New Roman" w:hAnsi="Times New Roman" w:cs="Times New Roman"/>
          <w:color w:val="auto"/>
          <w:sz w:val="28"/>
          <w:szCs w:val="24"/>
          <w:highlight w:val="none"/>
        </w:rPr>
        <w:t>年</w:t>
      </w:r>
      <w:r>
        <w:rPr>
          <w:rFonts w:hint="eastAsia" w:ascii="Times New Roman" w:hAnsi="Times New Roman" w:cs="Times New Roman"/>
          <w:color w:val="auto"/>
          <w:sz w:val="28"/>
          <w:szCs w:val="24"/>
          <w:highlight w:val="none"/>
          <w:lang w:val="en-US" w:eastAsia="zh-CN"/>
        </w:rPr>
        <w:t>获得江西省人民政府批复</w:t>
      </w:r>
      <w:r>
        <w:rPr>
          <w:rFonts w:ascii="Times New Roman" w:hAnsi="Times New Roman" w:cs="Times New Roman"/>
          <w:color w:val="auto"/>
          <w:sz w:val="28"/>
          <w:szCs w:val="24"/>
          <w:highlight w:val="none"/>
        </w:rPr>
        <w:t>，属于</w:t>
      </w:r>
      <w:r>
        <w:rPr>
          <w:rFonts w:ascii="Times New Roman" w:hAnsi="Times New Roman" w:cs="Times New Roman"/>
          <w:color w:val="auto"/>
          <w:sz w:val="28"/>
          <w:szCs w:val="24"/>
          <w:highlight w:val="none"/>
          <w:lang w:eastAsia="zh-Hans"/>
        </w:rPr>
        <w:t>河流</w:t>
      </w:r>
      <w:r>
        <w:rPr>
          <w:rFonts w:ascii="Times New Roman" w:hAnsi="Times New Roman" w:cs="Times New Roman"/>
          <w:color w:val="auto"/>
          <w:sz w:val="28"/>
          <w:szCs w:val="24"/>
          <w:highlight w:val="none"/>
        </w:rPr>
        <w:t>型，</w:t>
      </w:r>
      <w:r>
        <w:rPr>
          <w:rFonts w:hint="eastAsia" w:ascii="Times New Roman" w:hAnsi="Times New Roman" w:cs="Times New Roman"/>
          <w:color w:val="auto"/>
          <w:sz w:val="28"/>
          <w:szCs w:val="24"/>
          <w:highlight w:val="none"/>
          <w:lang w:val="en-US" w:eastAsia="zh-CN"/>
        </w:rPr>
        <w:t>保护区范围</w:t>
      </w:r>
      <w:r>
        <w:rPr>
          <w:rFonts w:ascii="Times New Roman" w:hAnsi="Times New Roman" w:cs="Times New Roman"/>
          <w:color w:val="auto"/>
          <w:sz w:val="28"/>
          <w:szCs w:val="24"/>
          <w:highlight w:val="none"/>
        </w:rPr>
        <w:t>见</w:t>
      </w:r>
      <w:r>
        <w:rPr>
          <w:rFonts w:hint="eastAsia" w:ascii="Times New Roman" w:hAnsi="Times New Roman" w:cs="Times New Roman"/>
          <w:color w:val="auto"/>
          <w:sz w:val="28"/>
          <w:szCs w:val="24"/>
          <w:highlight w:val="none"/>
        </w:rPr>
        <w:t>下</w:t>
      </w:r>
      <w:r>
        <w:rPr>
          <w:rFonts w:ascii="Times New Roman" w:hAnsi="Times New Roman" w:cs="Times New Roman"/>
          <w:color w:val="auto"/>
          <w:sz w:val="28"/>
          <w:szCs w:val="24"/>
          <w:highlight w:val="none"/>
        </w:rPr>
        <w:t>表</w:t>
      </w:r>
      <w:r>
        <w:rPr>
          <w:rFonts w:hint="eastAsia"/>
          <w:color w:val="auto"/>
          <w:sz w:val="28"/>
          <w:szCs w:val="21"/>
          <w:highlight w:val="none"/>
        </w:rPr>
        <w:t>：</w:t>
      </w:r>
    </w:p>
    <w:p w14:paraId="36CAFAA6">
      <w:pPr>
        <w:ind w:firstLine="0" w:firstLineChars="0"/>
        <w:jc w:val="center"/>
        <w:rPr>
          <w:color w:val="auto"/>
          <w:sz w:val="28"/>
          <w:szCs w:val="21"/>
          <w:highlight w:val="none"/>
        </w:rPr>
      </w:pPr>
      <w:r>
        <w:rPr>
          <w:rFonts w:hint="eastAsia"/>
          <w:b/>
          <w:color w:val="auto"/>
          <w:sz w:val="28"/>
          <w:szCs w:val="28"/>
          <w:highlight w:val="none"/>
        </w:rPr>
        <w:t>表</w:t>
      </w:r>
      <w:r>
        <w:rPr>
          <w:rFonts w:hint="eastAsia"/>
          <w:b/>
          <w:color w:val="auto"/>
          <w:sz w:val="28"/>
          <w:szCs w:val="28"/>
          <w:highlight w:val="none"/>
          <w:lang w:val="en-US" w:eastAsia="zh-CN"/>
        </w:rPr>
        <w:t>5</w:t>
      </w:r>
      <w:r>
        <w:rPr>
          <w:rFonts w:hint="eastAsia"/>
          <w:b/>
          <w:color w:val="auto"/>
          <w:sz w:val="28"/>
          <w:szCs w:val="28"/>
          <w:highlight w:val="none"/>
        </w:rPr>
        <w:t>.</w:t>
      </w:r>
      <w:r>
        <w:rPr>
          <w:rFonts w:hint="eastAsia"/>
          <w:b/>
          <w:color w:val="auto"/>
          <w:sz w:val="28"/>
          <w:szCs w:val="28"/>
          <w:highlight w:val="none"/>
          <w:lang w:val="en-US" w:eastAsia="zh-CN"/>
        </w:rPr>
        <w:t>1-2</w:t>
      </w:r>
      <w:r>
        <w:rPr>
          <w:rFonts w:hint="eastAsia"/>
          <w:b/>
          <w:color w:val="auto"/>
          <w:sz w:val="28"/>
          <w:szCs w:val="28"/>
          <w:highlight w:val="none"/>
        </w:rPr>
        <w:t xml:space="preserve">  饮用水源地保护区划定范围表</w:t>
      </w:r>
    </w:p>
    <w:tbl>
      <w:tblPr>
        <w:tblStyle w:val="7"/>
        <w:tblW w:w="4998" w:type="pct"/>
        <w:jc w:val="center"/>
        <w:tblLayout w:type="fixed"/>
        <w:tblCellMar>
          <w:top w:w="0" w:type="dxa"/>
          <w:left w:w="57" w:type="dxa"/>
          <w:bottom w:w="0" w:type="dxa"/>
          <w:right w:w="57" w:type="dxa"/>
        </w:tblCellMar>
      </w:tblPr>
      <w:tblGrid>
        <w:gridCol w:w="627"/>
        <w:gridCol w:w="574"/>
        <w:gridCol w:w="912"/>
        <w:gridCol w:w="1387"/>
        <w:gridCol w:w="1714"/>
        <w:gridCol w:w="2001"/>
        <w:gridCol w:w="1200"/>
      </w:tblGrid>
      <w:tr w14:paraId="6941B78F">
        <w:tblPrEx>
          <w:tblCellMar>
            <w:top w:w="0" w:type="dxa"/>
            <w:left w:w="57" w:type="dxa"/>
            <w:bottom w:w="0" w:type="dxa"/>
            <w:right w:w="57" w:type="dxa"/>
          </w:tblCellMar>
        </w:tblPrEx>
        <w:trPr>
          <w:trHeight w:val="425" w:hRule="atLeast"/>
          <w:tblHeader/>
          <w:jc w:val="center"/>
        </w:trPr>
        <w:tc>
          <w:tcPr>
            <w:tcW w:w="372" w:type="pct"/>
            <w:vMerge w:val="restart"/>
            <w:tcBorders>
              <w:top w:val="single" w:color="auto" w:sz="4" w:space="0"/>
              <w:left w:val="single" w:color="auto" w:sz="4" w:space="0"/>
            </w:tcBorders>
            <w:shd w:val="clear" w:color="auto" w:fill="auto"/>
            <w:vAlign w:val="center"/>
          </w:tcPr>
          <w:p w14:paraId="2E4978A2">
            <w:pPr>
              <w:pStyle w:val="10"/>
              <w:jc w:val="center"/>
              <w:rPr>
                <w:rFonts w:ascii="仿宋_GB2312" w:hAnsi="仿宋_GB2312" w:eastAsia="仿宋_GB2312" w:cs="仿宋_GB2312"/>
                <w:b/>
                <w:bCs/>
                <w:color w:val="auto"/>
                <w:kern w:val="2"/>
                <w:sz w:val="21"/>
                <w:szCs w:val="21"/>
                <w:highlight w:val="none"/>
              </w:rPr>
            </w:pPr>
            <w:r>
              <w:rPr>
                <w:rFonts w:hint="eastAsia" w:ascii="仿宋_GB2312" w:hAnsi="仿宋_GB2312" w:eastAsia="仿宋_GB2312" w:cs="仿宋_GB2312"/>
                <w:b/>
                <w:bCs/>
                <w:color w:val="auto"/>
                <w:kern w:val="2"/>
                <w:sz w:val="21"/>
                <w:szCs w:val="21"/>
                <w:highlight w:val="none"/>
              </w:rPr>
              <w:t>水源名称</w:t>
            </w:r>
          </w:p>
        </w:tc>
        <w:tc>
          <w:tcPr>
            <w:tcW w:w="341" w:type="pct"/>
            <w:vMerge w:val="restart"/>
            <w:tcBorders>
              <w:top w:val="single" w:color="auto" w:sz="4" w:space="0"/>
              <w:left w:val="single" w:color="auto" w:sz="4" w:space="0"/>
            </w:tcBorders>
            <w:shd w:val="clear" w:color="auto" w:fill="auto"/>
            <w:vAlign w:val="center"/>
          </w:tcPr>
          <w:p w14:paraId="6BBF43E6">
            <w:pPr>
              <w:pStyle w:val="10"/>
              <w:jc w:val="center"/>
              <w:rPr>
                <w:rFonts w:ascii="仿宋_GB2312" w:hAnsi="仿宋_GB2312" w:eastAsia="仿宋_GB2312" w:cs="仿宋_GB2312"/>
                <w:b/>
                <w:bCs/>
                <w:color w:val="auto"/>
                <w:kern w:val="2"/>
                <w:sz w:val="21"/>
                <w:szCs w:val="21"/>
                <w:highlight w:val="none"/>
              </w:rPr>
            </w:pPr>
            <w:r>
              <w:rPr>
                <w:rFonts w:hint="eastAsia" w:ascii="仿宋_GB2312" w:hAnsi="仿宋_GB2312" w:eastAsia="仿宋_GB2312" w:cs="仿宋_GB2312"/>
                <w:b/>
                <w:bCs/>
                <w:color w:val="auto"/>
                <w:kern w:val="2"/>
                <w:sz w:val="21"/>
                <w:szCs w:val="21"/>
                <w:highlight w:val="none"/>
              </w:rPr>
              <w:t>水源类型</w:t>
            </w:r>
          </w:p>
        </w:tc>
        <w:tc>
          <w:tcPr>
            <w:tcW w:w="542" w:type="pct"/>
            <w:vMerge w:val="restart"/>
            <w:tcBorders>
              <w:top w:val="single" w:color="auto" w:sz="4" w:space="0"/>
              <w:left w:val="single" w:color="auto" w:sz="4" w:space="0"/>
            </w:tcBorders>
            <w:shd w:val="clear" w:color="auto" w:fill="auto"/>
            <w:vAlign w:val="center"/>
          </w:tcPr>
          <w:p w14:paraId="59B23746">
            <w:pPr>
              <w:pStyle w:val="10"/>
              <w:jc w:val="center"/>
              <w:rPr>
                <w:rFonts w:ascii="仿宋_GB2312" w:hAnsi="仿宋_GB2312" w:eastAsia="仿宋_GB2312" w:cs="仿宋_GB2312"/>
                <w:b/>
                <w:bCs/>
                <w:color w:val="auto"/>
                <w:kern w:val="2"/>
                <w:sz w:val="21"/>
                <w:szCs w:val="21"/>
                <w:highlight w:val="none"/>
              </w:rPr>
            </w:pPr>
            <w:r>
              <w:rPr>
                <w:rFonts w:hint="eastAsia" w:ascii="仿宋_GB2312" w:hAnsi="仿宋_GB2312" w:eastAsia="仿宋_GB2312" w:cs="仿宋_GB2312"/>
                <w:b/>
                <w:bCs/>
                <w:color w:val="auto"/>
                <w:kern w:val="2"/>
                <w:sz w:val="21"/>
                <w:szCs w:val="21"/>
                <w:highlight w:val="none"/>
              </w:rPr>
              <w:t>取水口经纬度</w:t>
            </w:r>
          </w:p>
        </w:tc>
        <w:tc>
          <w:tcPr>
            <w:tcW w:w="1841" w:type="pct"/>
            <w:gridSpan w:val="2"/>
            <w:tcBorders>
              <w:top w:val="single" w:color="auto" w:sz="4" w:space="0"/>
              <w:left w:val="single" w:color="auto" w:sz="4" w:space="0"/>
            </w:tcBorders>
            <w:shd w:val="clear" w:color="auto" w:fill="auto"/>
            <w:vAlign w:val="center"/>
          </w:tcPr>
          <w:p w14:paraId="46E94BE3">
            <w:pPr>
              <w:pStyle w:val="10"/>
              <w:jc w:val="center"/>
              <w:rPr>
                <w:rFonts w:ascii="仿宋_GB2312" w:hAnsi="仿宋_GB2312" w:eastAsia="仿宋_GB2312" w:cs="仿宋_GB2312"/>
                <w:b/>
                <w:bCs/>
                <w:color w:val="auto"/>
                <w:kern w:val="2"/>
                <w:sz w:val="21"/>
                <w:szCs w:val="21"/>
                <w:highlight w:val="none"/>
              </w:rPr>
            </w:pPr>
            <w:r>
              <w:rPr>
                <w:rFonts w:hint="eastAsia" w:ascii="仿宋_GB2312" w:hAnsi="仿宋_GB2312" w:eastAsia="仿宋_GB2312" w:cs="仿宋_GB2312"/>
                <w:b/>
                <w:bCs/>
                <w:color w:val="auto"/>
                <w:kern w:val="2"/>
                <w:sz w:val="21"/>
                <w:szCs w:val="21"/>
                <w:highlight w:val="none"/>
              </w:rPr>
              <w:t>一级保护区</w:t>
            </w:r>
          </w:p>
        </w:tc>
        <w:tc>
          <w:tcPr>
            <w:tcW w:w="1901" w:type="pct"/>
            <w:gridSpan w:val="2"/>
            <w:tcBorders>
              <w:top w:val="single" w:color="auto" w:sz="4" w:space="0"/>
              <w:left w:val="single" w:color="auto" w:sz="4" w:space="0"/>
              <w:right w:val="single" w:color="auto" w:sz="4" w:space="0"/>
            </w:tcBorders>
            <w:shd w:val="clear" w:color="auto" w:fill="auto"/>
            <w:vAlign w:val="center"/>
          </w:tcPr>
          <w:p w14:paraId="40FDF981">
            <w:pPr>
              <w:pStyle w:val="10"/>
              <w:jc w:val="center"/>
              <w:rPr>
                <w:rFonts w:ascii="仿宋_GB2312" w:hAnsi="仿宋_GB2312" w:eastAsia="仿宋_GB2312" w:cs="仿宋_GB2312"/>
                <w:b/>
                <w:bCs/>
                <w:color w:val="auto"/>
                <w:kern w:val="2"/>
                <w:sz w:val="21"/>
                <w:szCs w:val="21"/>
                <w:highlight w:val="none"/>
              </w:rPr>
            </w:pPr>
            <w:r>
              <w:rPr>
                <w:rFonts w:hint="eastAsia" w:ascii="仿宋_GB2312" w:hAnsi="仿宋_GB2312" w:eastAsia="仿宋_GB2312" w:cs="仿宋_GB2312"/>
                <w:b/>
                <w:bCs/>
                <w:color w:val="auto"/>
                <w:kern w:val="2"/>
                <w:sz w:val="21"/>
                <w:szCs w:val="21"/>
                <w:highlight w:val="none"/>
              </w:rPr>
              <w:t>二级保护区</w:t>
            </w:r>
          </w:p>
        </w:tc>
      </w:tr>
      <w:tr w14:paraId="4D314115">
        <w:tblPrEx>
          <w:tblCellMar>
            <w:top w:w="0" w:type="dxa"/>
            <w:left w:w="57" w:type="dxa"/>
            <w:bottom w:w="0" w:type="dxa"/>
            <w:right w:w="57" w:type="dxa"/>
          </w:tblCellMar>
        </w:tblPrEx>
        <w:trPr>
          <w:trHeight w:val="425" w:hRule="atLeast"/>
          <w:tblHeader/>
          <w:jc w:val="center"/>
        </w:trPr>
        <w:tc>
          <w:tcPr>
            <w:tcW w:w="372" w:type="pct"/>
            <w:vMerge w:val="continue"/>
            <w:tcBorders>
              <w:left w:val="single" w:color="auto" w:sz="4" w:space="0"/>
            </w:tcBorders>
            <w:shd w:val="clear" w:color="auto" w:fill="auto"/>
            <w:vAlign w:val="center"/>
          </w:tcPr>
          <w:p w14:paraId="7FF9879F">
            <w:pPr>
              <w:pStyle w:val="10"/>
              <w:jc w:val="center"/>
              <w:rPr>
                <w:rFonts w:ascii="仿宋_GB2312" w:hAnsi="仿宋_GB2312" w:eastAsia="仿宋_GB2312" w:cs="仿宋_GB2312"/>
                <w:b/>
                <w:bCs/>
                <w:color w:val="auto"/>
                <w:kern w:val="2"/>
                <w:sz w:val="21"/>
                <w:szCs w:val="21"/>
                <w:highlight w:val="none"/>
              </w:rPr>
            </w:pPr>
          </w:p>
        </w:tc>
        <w:tc>
          <w:tcPr>
            <w:tcW w:w="341" w:type="pct"/>
            <w:vMerge w:val="continue"/>
            <w:tcBorders>
              <w:left w:val="single" w:color="auto" w:sz="4" w:space="0"/>
            </w:tcBorders>
            <w:shd w:val="clear" w:color="auto" w:fill="auto"/>
            <w:textDirection w:val="tbRlV"/>
            <w:vAlign w:val="center"/>
          </w:tcPr>
          <w:p w14:paraId="3FDABD28">
            <w:pPr>
              <w:pStyle w:val="10"/>
              <w:jc w:val="center"/>
              <w:rPr>
                <w:rFonts w:ascii="仿宋_GB2312" w:hAnsi="仿宋_GB2312" w:eastAsia="仿宋_GB2312" w:cs="仿宋_GB2312"/>
                <w:b/>
                <w:bCs/>
                <w:color w:val="auto"/>
                <w:kern w:val="2"/>
                <w:sz w:val="21"/>
                <w:szCs w:val="21"/>
                <w:highlight w:val="none"/>
              </w:rPr>
            </w:pPr>
          </w:p>
        </w:tc>
        <w:tc>
          <w:tcPr>
            <w:tcW w:w="542" w:type="pct"/>
            <w:vMerge w:val="continue"/>
            <w:tcBorders>
              <w:left w:val="single" w:color="auto" w:sz="4" w:space="0"/>
            </w:tcBorders>
            <w:shd w:val="clear" w:color="auto" w:fill="auto"/>
            <w:vAlign w:val="center"/>
          </w:tcPr>
          <w:p w14:paraId="72DBC502">
            <w:pPr>
              <w:pStyle w:val="10"/>
              <w:jc w:val="center"/>
              <w:rPr>
                <w:rFonts w:ascii="仿宋_GB2312" w:hAnsi="仿宋_GB2312" w:eastAsia="仿宋_GB2312" w:cs="仿宋_GB2312"/>
                <w:b/>
                <w:bCs/>
                <w:color w:val="auto"/>
                <w:kern w:val="2"/>
                <w:sz w:val="21"/>
                <w:szCs w:val="21"/>
                <w:highlight w:val="none"/>
              </w:rPr>
            </w:pPr>
          </w:p>
        </w:tc>
        <w:tc>
          <w:tcPr>
            <w:tcW w:w="824" w:type="pct"/>
            <w:tcBorders>
              <w:top w:val="single" w:color="auto" w:sz="4" w:space="0"/>
              <w:left w:val="single" w:color="auto" w:sz="4" w:space="0"/>
            </w:tcBorders>
            <w:shd w:val="clear" w:color="auto" w:fill="auto"/>
            <w:vAlign w:val="center"/>
          </w:tcPr>
          <w:p w14:paraId="6DDCFD59">
            <w:pPr>
              <w:pStyle w:val="10"/>
              <w:jc w:val="center"/>
              <w:rPr>
                <w:rFonts w:ascii="仿宋_GB2312" w:hAnsi="仿宋_GB2312" w:eastAsia="仿宋_GB2312" w:cs="仿宋_GB2312"/>
                <w:b/>
                <w:bCs/>
                <w:color w:val="auto"/>
                <w:kern w:val="2"/>
                <w:sz w:val="21"/>
                <w:szCs w:val="21"/>
                <w:highlight w:val="none"/>
              </w:rPr>
            </w:pPr>
            <w:r>
              <w:rPr>
                <w:rFonts w:hint="eastAsia" w:ascii="仿宋_GB2312" w:hAnsi="仿宋_GB2312" w:eastAsia="仿宋_GB2312" w:cs="仿宋_GB2312"/>
                <w:b/>
                <w:bCs/>
                <w:color w:val="auto"/>
                <w:kern w:val="2"/>
                <w:sz w:val="21"/>
                <w:szCs w:val="21"/>
                <w:highlight w:val="none"/>
              </w:rPr>
              <w:t>水域</w:t>
            </w:r>
          </w:p>
        </w:tc>
        <w:tc>
          <w:tcPr>
            <w:tcW w:w="1017" w:type="pct"/>
            <w:tcBorders>
              <w:top w:val="single" w:color="auto" w:sz="4" w:space="0"/>
              <w:left w:val="single" w:color="auto" w:sz="4" w:space="0"/>
            </w:tcBorders>
            <w:shd w:val="clear" w:color="auto" w:fill="auto"/>
            <w:vAlign w:val="center"/>
          </w:tcPr>
          <w:p w14:paraId="032FA96F">
            <w:pPr>
              <w:pStyle w:val="10"/>
              <w:jc w:val="center"/>
              <w:rPr>
                <w:rFonts w:ascii="仿宋_GB2312" w:hAnsi="仿宋_GB2312" w:eastAsia="仿宋_GB2312" w:cs="仿宋_GB2312"/>
                <w:b/>
                <w:bCs/>
                <w:color w:val="auto"/>
                <w:kern w:val="2"/>
                <w:sz w:val="21"/>
                <w:szCs w:val="21"/>
                <w:highlight w:val="none"/>
              </w:rPr>
            </w:pPr>
            <w:r>
              <w:rPr>
                <w:rFonts w:hint="eastAsia" w:ascii="仿宋_GB2312" w:hAnsi="仿宋_GB2312" w:eastAsia="仿宋_GB2312" w:cs="仿宋_GB2312"/>
                <w:b/>
                <w:bCs/>
                <w:color w:val="auto"/>
                <w:kern w:val="2"/>
                <w:sz w:val="21"/>
                <w:szCs w:val="21"/>
                <w:highlight w:val="none"/>
              </w:rPr>
              <w:t>陆域</w:t>
            </w:r>
          </w:p>
        </w:tc>
        <w:tc>
          <w:tcPr>
            <w:tcW w:w="1188" w:type="pct"/>
            <w:tcBorders>
              <w:top w:val="single" w:color="auto" w:sz="4" w:space="0"/>
              <w:left w:val="single" w:color="auto" w:sz="4" w:space="0"/>
            </w:tcBorders>
            <w:shd w:val="clear" w:color="auto" w:fill="auto"/>
            <w:vAlign w:val="center"/>
          </w:tcPr>
          <w:p w14:paraId="4D0B82D6">
            <w:pPr>
              <w:pStyle w:val="10"/>
              <w:jc w:val="center"/>
              <w:rPr>
                <w:rFonts w:ascii="仿宋_GB2312" w:hAnsi="仿宋_GB2312" w:eastAsia="仿宋_GB2312" w:cs="仿宋_GB2312"/>
                <w:b/>
                <w:bCs/>
                <w:color w:val="auto"/>
                <w:kern w:val="2"/>
                <w:sz w:val="21"/>
                <w:szCs w:val="21"/>
                <w:highlight w:val="none"/>
              </w:rPr>
            </w:pPr>
            <w:r>
              <w:rPr>
                <w:rFonts w:hint="eastAsia" w:ascii="仿宋_GB2312" w:hAnsi="仿宋_GB2312" w:eastAsia="仿宋_GB2312" w:cs="仿宋_GB2312"/>
                <w:b/>
                <w:bCs/>
                <w:color w:val="auto"/>
                <w:kern w:val="2"/>
                <w:sz w:val="21"/>
                <w:szCs w:val="21"/>
                <w:highlight w:val="none"/>
              </w:rPr>
              <w:t>水域</w:t>
            </w:r>
          </w:p>
        </w:tc>
        <w:tc>
          <w:tcPr>
            <w:tcW w:w="713" w:type="pct"/>
            <w:tcBorders>
              <w:top w:val="single" w:color="auto" w:sz="4" w:space="0"/>
              <w:left w:val="single" w:color="auto" w:sz="4" w:space="0"/>
              <w:right w:val="single" w:color="auto" w:sz="4" w:space="0"/>
            </w:tcBorders>
            <w:shd w:val="clear" w:color="auto" w:fill="auto"/>
            <w:vAlign w:val="center"/>
          </w:tcPr>
          <w:p w14:paraId="1D5E5353">
            <w:pPr>
              <w:pStyle w:val="10"/>
              <w:jc w:val="center"/>
              <w:rPr>
                <w:rFonts w:ascii="仿宋_GB2312" w:hAnsi="仿宋_GB2312" w:eastAsia="仿宋_GB2312" w:cs="仿宋_GB2312"/>
                <w:b/>
                <w:bCs/>
                <w:color w:val="auto"/>
                <w:kern w:val="2"/>
                <w:sz w:val="21"/>
                <w:szCs w:val="21"/>
                <w:highlight w:val="none"/>
              </w:rPr>
            </w:pPr>
            <w:r>
              <w:rPr>
                <w:rFonts w:hint="eastAsia" w:ascii="仿宋_GB2312" w:hAnsi="仿宋_GB2312" w:eastAsia="仿宋_GB2312" w:cs="仿宋_GB2312"/>
                <w:b/>
                <w:bCs/>
                <w:color w:val="auto"/>
                <w:kern w:val="2"/>
                <w:sz w:val="21"/>
                <w:szCs w:val="21"/>
                <w:highlight w:val="none"/>
              </w:rPr>
              <w:t>陆域</w:t>
            </w:r>
          </w:p>
        </w:tc>
      </w:tr>
      <w:tr w14:paraId="204F5D56">
        <w:tblPrEx>
          <w:tblCellMar>
            <w:top w:w="0" w:type="dxa"/>
            <w:left w:w="57" w:type="dxa"/>
            <w:bottom w:w="0" w:type="dxa"/>
            <w:right w:w="57" w:type="dxa"/>
          </w:tblCellMar>
        </w:tblPrEx>
        <w:trPr>
          <w:trHeight w:val="425" w:hRule="atLeast"/>
          <w:jc w:val="center"/>
        </w:trPr>
        <w:tc>
          <w:tcPr>
            <w:tcW w:w="372" w:type="pct"/>
            <w:tcBorders>
              <w:top w:val="single" w:color="auto" w:sz="4" w:space="0"/>
              <w:left w:val="single" w:color="auto" w:sz="4" w:space="0"/>
              <w:bottom w:val="single" w:color="auto" w:sz="4" w:space="0"/>
            </w:tcBorders>
            <w:shd w:val="clear" w:color="auto" w:fill="auto"/>
            <w:vAlign w:val="center"/>
          </w:tcPr>
          <w:p w14:paraId="4212AC25">
            <w:pPr>
              <w:pStyle w:val="10"/>
              <w:jc w:val="center"/>
              <w:rPr>
                <w:rFonts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红角洲水厂饮用水源地</w:t>
            </w:r>
          </w:p>
        </w:tc>
        <w:tc>
          <w:tcPr>
            <w:tcW w:w="341" w:type="pct"/>
            <w:tcBorders>
              <w:top w:val="single" w:color="auto" w:sz="4" w:space="0"/>
              <w:left w:val="single" w:color="auto" w:sz="4" w:space="0"/>
              <w:bottom w:val="single" w:color="auto" w:sz="4" w:space="0"/>
            </w:tcBorders>
            <w:shd w:val="clear" w:color="auto" w:fill="auto"/>
            <w:vAlign w:val="center"/>
          </w:tcPr>
          <w:p w14:paraId="7C97F532">
            <w:pPr>
              <w:pStyle w:val="10"/>
              <w:jc w:val="center"/>
              <w:rPr>
                <w:rFonts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河流型</w:t>
            </w:r>
          </w:p>
        </w:tc>
        <w:tc>
          <w:tcPr>
            <w:tcW w:w="542" w:type="pct"/>
            <w:tcBorders>
              <w:top w:val="single" w:color="auto" w:sz="4" w:space="0"/>
              <w:left w:val="single" w:color="auto" w:sz="4" w:space="0"/>
              <w:bottom w:val="single" w:color="auto" w:sz="4" w:space="0"/>
            </w:tcBorders>
            <w:shd w:val="clear" w:color="auto" w:fill="auto"/>
            <w:vAlign w:val="center"/>
          </w:tcPr>
          <w:p w14:paraId="36E3020C">
            <w:pPr>
              <w:pStyle w:val="10"/>
              <w:jc w:val="center"/>
              <w:rPr>
                <w:rFonts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E115°48′47.06″</w:t>
            </w:r>
          </w:p>
          <w:p w14:paraId="3654A9E6">
            <w:pPr>
              <w:pStyle w:val="10"/>
              <w:jc w:val="center"/>
              <w:rPr>
                <w:rFonts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N28°36′25.36″</w:t>
            </w:r>
          </w:p>
        </w:tc>
        <w:tc>
          <w:tcPr>
            <w:tcW w:w="824" w:type="pct"/>
            <w:tcBorders>
              <w:top w:val="single" w:color="auto" w:sz="4" w:space="0"/>
              <w:left w:val="single" w:color="auto" w:sz="4" w:space="0"/>
              <w:bottom w:val="single" w:color="auto" w:sz="4" w:space="0"/>
            </w:tcBorders>
            <w:shd w:val="clear" w:color="auto" w:fill="auto"/>
            <w:vAlign w:val="center"/>
          </w:tcPr>
          <w:p w14:paraId="42EA8467">
            <w:pPr>
              <w:pStyle w:val="10"/>
              <w:jc w:val="center"/>
              <w:rPr>
                <w:rFonts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长度：取水口上游1000m，下游100m范围的河道水域；</w:t>
            </w:r>
          </w:p>
          <w:p w14:paraId="15005C65">
            <w:pPr>
              <w:pStyle w:val="10"/>
              <w:jc w:val="center"/>
              <w:rPr>
                <w:rFonts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宽度：为洪水期取水口侧堤脚起至赣江航道中心线为止；面积0.25</w:t>
            </w:r>
            <w:r>
              <w:rPr>
                <w:rFonts w:hint="eastAsia" w:ascii="仿宋_GB2312" w:hAnsi="仿宋_GB2312" w:eastAsia="仿宋_GB2312" w:cs="仿宋_GB2312"/>
                <w:color w:val="auto"/>
                <w:kern w:val="2"/>
                <w:sz w:val="21"/>
                <w:szCs w:val="21"/>
                <w:highlight w:val="none"/>
                <w:lang w:val="en-US" w:eastAsia="zh-CN"/>
              </w:rPr>
              <w:t>km</w:t>
            </w:r>
            <w:r>
              <w:rPr>
                <w:rFonts w:hint="eastAsia" w:ascii="仿宋_GB2312" w:hAnsi="仿宋_GB2312" w:eastAsia="仿宋_GB2312" w:cs="仿宋_GB2312"/>
                <w:color w:val="auto"/>
                <w:kern w:val="2"/>
                <w:sz w:val="21"/>
                <w:szCs w:val="21"/>
                <w:highlight w:val="none"/>
                <w:vertAlign w:val="superscript"/>
                <w:lang w:val="en-US" w:eastAsia="zh-CN"/>
              </w:rPr>
              <w:t>2</w:t>
            </w:r>
            <w:r>
              <w:rPr>
                <w:rFonts w:hint="eastAsia" w:ascii="仿宋_GB2312" w:hAnsi="仿宋_GB2312" w:eastAsia="仿宋_GB2312" w:cs="仿宋_GB2312"/>
                <w:color w:val="auto"/>
                <w:kern w:val="2"/>
                <w:sz w:val="21"/>
                <w:szCs w:val="21"/>
                <w:highlight w:val="none"/>
              </w:rPr>
              <w:t>。</w:t>
            </w:r>
          </w:p>
        </w:tc>
        <w:tc>
          <w:tcPr>
            <w:tcW w:w="1017" w:type="pct"/>
            <w:tcBorders>
              <w:top w:val="single" w:color="auto" w:sz="4" w:space="0"/>
              <w:left w:val="single" w:color="auto" w:sz="4" w:space="0"/>
              <w:bottom w:val="single" w:color="auto" w:sz="4" w:space="0"/>
            </w:tcBorders>
            <w:shd w:val="clear" w:color="auto" w:fill="auto"/>
            <w:vAlign w:val="center"/>
          </w:tcPr>
          <w:p w14:paraId="6E3DB4F8">
            <w:pPr>
              <w:pStyle w:val="10"/>
              <w:jc w:val="center"/>
              <w:rPr>
                <w:rFonts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长度与相应的一级保护区水域等长；</w:t>
            </w:r>
          </w:p>
          <w:p w14:paraId="0D94F28C">
            <w:pPr>
              <w:pStyle w:val="10"/>
              <w:jc w:val="center"/>
              <w:rPr>
                <w:rFonts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宽度为红角洲水厂取水口一侧的滩地以及迎水面堤脚向背水面延伸至九龙湖防护大堤堤脚内侧的范围；面积0.1</w:t>
            </w:r>
            <w:r>
              <w:rPr>
                <w:rFonts w:hint="eastAsia" w:ascii="仿宋_GB2312" w:hAnsi="仿宋_GB2312" w:eastAsia="仿宋_GB2312" w:cs="仿宋_GB2312"/>
                <w:color w:val="auto"/>
                <w:kern w:val="2"/>
                <w:sz w:val="21"/>
                <w:szCs w:val="21"/>
                <w:highlight w:val="none"/>
                <w:lang w:val="en-US" w:eastAsia="zh-CN"/>
              </w:rPr>
              <w:t>km</w:t>
            </w:r>
            <w:r>
              <w:rPr>
                <w:rFonts w:hint="eastAsia" w:ascii="仿宋_GB2312" w:hAnsi="仿宋_GB2312" w:eastAsia="仿宋_GB2312" w:cs="仿宋_GB2312"/>
                <w:color w:val="auto"/>
                <w:kern w:val="2"/>
                <w:sz w:val="21"/>
                <w:szCs w:val="21"/>
                <w:highlight w:val="none"/>
                <w:vertAlign w:val="superscript"/>
                <w:lang w:val="en-US" w:eastAsia="zh-CN"/>
              </w:rPr>
              <w:t>2</w:t>
            </w:r>
            <w:r>
              <w:rPr>
                <w:rFonts w:hint="eastAsia" w:ascii="仿宋_GB2312" w:hAnsi="仿宋_GB2312" w:eastAsia="仿宋_GB2312" w:cs="仿宋_GB2312"/>
                <w:color w:val="auto"/>
                <w:kern w:val="2"/>
                <w:sz w:val="21"/>
                <w:szCs w:val="21"/>
                <w:highlight w:val="none"/>
              </w:rPr>
              <w:t>。</w:t>
            </w:r>
          </w:p>
        </w:tc>
        <w:tc>
          <w:tcPr>
            <w:tcW w:w="1188" w:type="pct"/>
            <w:tcBorders>
              <w:top w:val="single" w:color="auto" w:sz="4" w:space="0"/>
              <w:left w:val="single" w:color="auto" w:sz="4" w:space="0"/>
              <w:bottom w:val="single" w:color="auto" w:sz="4" w:space="0"/>
            </w:tcBorders>
            <w:shd w:val="clear" w:color="auto" w:fill="auto"/>
            <w:vAlign w:val="center"/>
          </w:tcPr>
          <w:p w14:paraId="6A9DBD0A">
            <w:pPr>
              <w:pStyle w:val="10"/>
              <w:jc w:val="center"/>
              <w:rPr>
                <w:rFonts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长度：赣江主河道自一级保护区上游边界向上游4900m，下游自一级保护区下游边界起下溯200m；</w:t>
            </w:r>
          </w:p>
          <w:p w14:paraId="4CA91879">
            <w:pPr>
              <w:pStyle w:val="10"/>
              <w:jc w:val="center"/>
              <w:rPr>
                <w:rFonts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宽度：整个河宽，以及一级保护区水域向取水口相对一侧扩展至整个河道范围；面积7.25</w:t>
            </w:r>
            <w:r>
              <w:rPr>
                <w:rFonts w:hint="eastAsia" w:ascii="仿宋_GB2312" w:hAnsi="仿宋_GB2312" w:eastAsia="仿宋_GB2312" w:cs="仿宋_GB2312"/>
                <w:color w:val="auto"/>
                <w:kern w:val="2"/>
                <w:sz w:val="21"/>
                <w:szCs w:val="21"/>
                <w:highlight w:val="none"/>
                <w:lang w:val="en-US" w:eastAsia="zh-CN"/>
              </w:rPr>
              <w:t>km</w:t>
            </w:r>
            <w:r>
              <w:rPr>
                <w:rFonts w:hint="eastAsia" w:ascii="仿宋_GB2312" w:hAnsi="仿宋_GB2312" w:eastAsia="仿宋_GB2312" w:cs="仿宋_GB2312"/>
                <w:color w:val="auto"/>
                <w:kern w:val="2"/>
                <w:sz w:val="21"/>
                <w:szCs w:val="21"/>
                <w:highlight w:val="none"/>
                <w:vertAlign w:val="superscript"/>
                <w:lang w:val="en-US" w:eastAsia="zh-CN"/>
              </w:rPr>
              <w:t>2</w:t>
            </w:r>
            <w:r>
              <w:rPr>
                <w:rFonts w:hint="eastAsia" w:ascii="仿宋_GB2312" w:hAnsi="仿宋_GB2312" w:eastAsia="仿宋_GB2312" w:cs="仿宋_GB2312"/>
                <w:color w:val="auto"/>
                <w:kern w:val="2"/>
                <w:sz w:val="21"/>
                <w:szCs w:val="21"/>
                <w:highlight w:val="none"/>
              </w:rPr>
              <w:t>。</w:t>
            </w:r>
          </w:p>
        </w:tc>
        <w:tc>
          <w:tcPr>
            <w:tcW w:w="713" w:type="pct"/>
            <w:tcBorders>
              <w:top w:val="single" w:color="auto" w:sz="4" w:space="0"/>
              <w:left w:val="single" w:color="auto" w:sz="4" w:space="0"/>
              <w:bottom w:val="single" w:color="auto" w:sz="4" w:space="0"/>
              <w:right w:val="single" w:color="auto" w:sz="4" w:space="0"/>
            </w:tcBorders>
            <w:shd w:val="clear" w:color="auto" w:fill="auto"/>
            <w:vAlign w:val="center"/>
          </w:tcPr>
          <w:p w14:paraId="5362F929">
            <w:pPr>
              <w:pStyle w:val="10"/>
              <w:jc w:val="center"/>
              <w:rPr>
                <w:rFonts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长度与相应的二级保护区水域等长，宽度至赣江两岸防洪大堤堤脚内的所有陆域范围；面积1.61</w:t>
            </w:r>
            <w:r>
              <w:rPr>
                <w:rFonts w:hint="eastAsia" w:ascii="仿宋_GB2312" w:hAnsi="仿宋_GB2312" w:eastAsia="仿宋_GB2312" w:cs="仿宋_GB2312"/>
                <w:color w:val="auto"/>
                <w:kern w:val="2"/>
                <w:sz w:val="21"/>
                <w:szCs w:val="21"/>
                <w:highlight w:val="none"/>
                <w:lang w:val="en-US" w:eastAsia="zh-CN"/>
              </w:rPr>
              <w:t>km</w:t>
            </w:r>
            <w:r>
              <w:rPr>
                <w:rFonts w:hint="eastAsia" w:ascii="仿宋_GB2312" w:hAnsi="仿宋_GB2312" w:eastAsia="仿宋_GB2312" w:cs="仿宋_GB2312"/>
                <w:color w:val="auto"/>
                <w:kern w:val="2"/>
                <w:sz w:val="21"/>
                <w:szCs w:val="21"/>
                <w:highlight w:val="none"/>
                <w:vertAlign w:val="superscript"/>
                <w:lang w:val="en-US" w:eastAsia="zh-CN"/>
              </w:rPr>
              <w:t>2</w:t>
            </w:r>
            <w:r>
              <w:rPr>
                <w:rFonts w:hint="eastAsia" w:ascii="仿宋_GB2312" w:hAnsi="仿宋_GB2312" w:eastAsia="仿宋_GB2312" w:cs="仿宋_GB2312"/>
                <w:color w:val="auto"/>
                <w:kern w:val="2"/>
                <w:sz w:val="21"/>
                <w:szCs w:val="21"/>
                <w:highlight w:val="none"/>
              </w:rPr>
              <w:t>。</w:t>
            </w:r>
          </w:p>
        </w:tc>
      </w:tr>
    </w:tbl>
    <w:p w14:paraId="3DDA0021">
      <w:pPr>
        <w:pStyle w:val="4"/>
        <w:bidi w:val="0"/>
        <w:rPr>
          <w:color w:val="auto"/>
          <w:highlight w:val="none"/>
        </w:rPr>
      </w:pPr>
      <w:r>
        <w:rPr>
          <w:rFonts w:hint="eastAsia"/>
          <w:color w:val="auto"/>
          <w:highlight w:val="none"/>
          <w:lang w:val="en-US" w:eastAsia="zh-CN"/>
        </w:rPr>
        <w:t>5.1.3</w:t>
      </w:r>
      <w:r>
        <w:rPr>
          <w:rFonts w:hint="eastAsia"/>
          <w:color w:val="auto"/>
          <w:highlight w:val="none"/>
        </w:rPr>
        <w:t>城北水厂饮用水源地</w:t>
      </w:r>
    </w:p>
    <w:p w14:paraId="68A1F59E">
      <w:pPr>
        <w:ind w:firstLine="56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城北水厂水</w:t>
      </w:r>
      <w:r>
        <w:rPr>
          <w:rFonts w:ascii="Times New Roman" w:hAnsi="Times New Roman" w:cs="Times New Roman"/>
          <w:color w:val="auto"/>
          <w:sz w:val="28"/>
          <w:szCs w:val="28"/>
          <w:highlight w:val="none"/>
        </w:rPr>
        <w:t>源地取水来自赣江</w:t>
      </w:r>
      <w:r>
        <w:rPr>
          <w:rFonts w:hint="eastAsia" w:ascii="Times New Roman" w:hAnsi="Times New Roman" w:cs="Times New Roman"/>
          <w:color w:val="auto"/>
          <w:sz w:val="28"/>
          <w:szCs w:val="28"/>
          <w:highlight w:val="none"/>
        </w:rPr>
        <w:t>，</w:t>
      </w:r>
      <w:r>
        <w:rPr>
          <w:rFonts w:hint="eastAsia" w:ascii="Times New Roman" w:hAnsi="Times New Roman" w:cs="Times New Roman"/>
          <w:color w:val="auto"/>
          <w:sz w:val="28"/>
          <w:szCs w:val="28"/>
          <w:highlight w:val="none"/>
          <w:lang w:val="en-US" w:eastAsia="zh-CN"/>
        </w:rPr>
        <w:t>设有1个取水口，</w:t>
      </w:r>
      <w:r>
        <w:rPr>
          <w:rFonts w:ascii="Times New Roman" w:hAnsi="Times New Roman" w:cs="Times New Roman"/>
          <w:color w:val="auto"/>
          <w:sz w:val="28"/>
          <w:szCs w:val="28"/>
          <w:highlight w:val="none"/>
        </w:rPr>
        <w:t>服务</w:t>
      </w:r>
      <w:r>
        <w:rPr>
          <w:rFonts w:hint="eastAsia" w:ascii="Times New Roman" w:hAnsi="Times New Roman" w:cs="Times New Roman"/>
          <w:color w:val="auto"/>
          <w:sz w:val="28"/>
          <w:szCs w:val="28"/>
          <w:highlight w:val="none"/>
          <w:lang w:val="en-US" w:eastAsia="zh-CN"/>
        </w:rPr>
        <w:t>范围</w:t>
      </w:r>
      <w:r>
        <w:rPr>
          <w:rFonts w:ascii="Times New Roman" w:hAnsi="Times New Roman" w:cs="Times New Roman"/>
          <w:color w:val="auto"/>
          <w:sz w:val="28"/>
          <w:szCs w:val="28"/>
          <w:highlight w:val="none"/>
        </w:rPr>
        <w:t>为昌东片区、瑶湖片区、高新片区</w:t>
      </w:r>
      <w:r>
        <w:rPr>
          <w:rFonts w:hint="eastAsia" w:ascii="Times New Roman" w:hAnsi="Times New Roman" w:cs="Times New Roman"/>
          <w:color w:val="auto"/>
          <w:sz w:val="28"/>
          <w:szCs w:val="28"/>
          <w:highlight w:val="none"/>
          <w:lang w:val="en-US" w:eastAsia="zh-CN"/>
        </w:rPr>
        <w:t>等区域</w:t>
      </w:r>
      <w:r>
        <w:rPr>
          <w:rFonts w:ascii="Times New Roman" w:hAnsi="Times New Roman" w:cs="Times New Roman"/>
          <w:color w:val="auto"/>
          <w:sz w:val="28"/>
          <w:szCs w:val="28"/>
          <w:highlight w:val="none"/>
        </w:rPr>
        <w:t>，供水人数共计</w:t>
      </w:r>
      <w:r>
        <w:rPr>
          <w:rFonts w:hint="eastAsia" w:ascii="Times New Roman" w:hAnsi="Times New Roman" w:cs="Times New Roman"/>
          <w:color w:val="auto"/>
          <w:sz w:val="28"/>
          <w:szCs w:val="28"/>
          <w:highlight w:val="none"/>
        </w:rPr>
        <w:t>20</w:t>
      </w:r>
      <w:r>
        <w:rPr>
          <w:rFonts w:ascii="Times New Roman" w:hAnsi="Times New Roman" w:cs="Times New Roman"/>
          <w:color w:val="auto"/>
          <w:sz w:val="28"/>
          <w:szCs w:val="28"/>
          <w:highlight w:val="none"/>
        </w:rPr>
        <w:t>万人，日供水规模20万吨</w:t>
      </w:r>
      <w:r>
        <w:rPr>
          <w:rFonts w:hint="eastAsia" w:ascii="Times New Roman" w:hAnsi="Times New Roman" w:cs="Times New Roman"/>
          <w:color w:val="auto"/>
          <w:sz w:val="28"/>
          <w:szCs w:val="28"/>
          <w:highlight w:val="none"/>
        </w:rPr>
        <w:t>，取水口中心地理坐标为：E115°53′2.4″，N28°43′12.37″，采用管道输水</w:t>
      </w:r>
      <w:r>
        <w:rPr>
          <w:rFonts w:hint="eastAsia" w:ascii="Times New Roman" w:hAnsi="Times New Roman" w:cs="Times New Roman"/>
          <w:color w:val="auto"/>
          <w:sz w:val="28"/>
          <w:szCs w:val="28"/>
          <w:highlight w:val="none"/>
          <w:lang w:eastAsia="zh-CN"/>
        </w:rPr>
        <w:t>，</w:t>
      </w:r>
      <w:r>
        <w:rPr>
          <w:rFonts w:hint="eastAsia"/>
          <w:color w:val="auto"/>
          <w:sz w:val="28"/>
          <w:szCs w:val="21"/>
          <w:highlight w:val="none"/>
          <w:lang w:val="en-US" w:eastAsia="zh-CN"/>
        </w:rPr>
        <w:t>城北</w:t>
      </w:r>
      <w:r>
        <w:rPr>
          <w:rFonts w:hint="eastAsia"/>
          <w:color w:val="auto"/>
          <w:sz w:val="28"/>
          <w:szCs w:val="21"/>
          <w:highlight w:val="none"/>
          <w:lang w:eastAsia="zh-CN"/>
        </w:rPr>
        <w:t>水厂饮用水源地</w:t>
      </w:r>
      <w:r>
        <w:rPr>
          <w:rFonts w:hint="eastAsia"/>
          <w:color w:val="auto"/>
          <w:sz w:val="28"/>
          <w:szCs w:val="21"/>
          <w:highlight w:val="none"/>
          <w:lang w:val="en-US" w:eastAsia="zh-CN"/>
        </w:rPr>
        <w:t>保护区在红谷滩区范围内面积</w:t>
      </w:r>
      <w:r>
        <w:rPr>
          <w:rFonts w:hint="eastAsia"/>
          <w:color w:val="auto"/>
          <w:sz w:val="28"/>
          <w:szCs w:val="28"/>
          <w:highlight w:val="none"/>
          <w:lang w:val="en-US" w:eastAsia="zh-CN"/>
        </w:rPr>
        <w:t>为0.3662</w:t>
      </w:r>
      <w:r>
        <w:rPr>
          <w:rFonts w:hint="eastAsia" w:ascii="仿宋_GB2312" w:hAnsi="仿宋_GB2312" w:eastAsia="仿宋_GB2312" w:cs="仿宋_GB2312"/>
          <w:color w:val="auto"/>
          <w:kern w:val="2"/>
          <w:sz w:val="28"/>
          <w:szCs w:val="28"/>
          <w:highlight w:val="none"/>
          <w:lang w:val="en-US" w:eastAsia="zh-CN"/>
        </w:rPr>
        <w:t>km</w:t>
      </w:r>
      <w:r>
        <w:rPr>
          <w:rFonts w:hint="eastAsia" w:ascii="仿宋_GB2312" w:hAnsi="仿宋_GB2312" w:eastAsia="仿宋_GB2312" w:cs="仿宋_GB2312"/>
          <w:color w:val="auto"/>
          <w:kern w:val="2"/>
          <w:sz w:val="28"/>
          <w:szCs w:val="28"/>
          <w:highlight w:val="none"/>
          <w:vertAlign w:val="superscript"/>
          <w:lang w:val="en-US" w:eastAsia="zh-CN"/>
        </w:rPr>
        <w:t>2</w:t>
      </w:r>
      <w:r>
        <w:rPr>
          <w:rFonts w:hint="eastAsia" w:ascii="Times New Roman" w:hAnsi="Times New Roman" w:cs="Times New Roman"/>
          <w:color w:val="auto"/>
          <w:sz w:val="28"/>
          <w:szCs w:val="28"/>
          <w:highlight w:val="none"/>
        </w:rPr>
        <w:t>。</w:t>
      </w:r>
    </w:p>
    <w:p w14:paraId="23B1F6F4">
      <w:pPr>
        <w:ind w:firstLine="560"/>
        <w:rPr>
          <w:rFonts w:hint="eastAsia"/>
          <w:b/>
          <w:color w:val="auto"/>
          <w:sz w:val="28"/>
          <w:szCs w:val="28"/>
          <w:highlight w:val="none"/>
        </w:rPr>
      </w:pPr>
      <w:r>
        <w:rPr>
          <w:rFonts w:hint="eastAsia" w:ascii="Times New Roman" w:hAnsi="Times New Roman" w:cs="Times New Roman"/>
          <w:color w:val="auto"/>
          <w:sz w:val="28"/>
          <w:szCs w:val="28"/>
          <w:highlight w:val="none"/>
        </w:rPr>
        <w:t>城北</w:t>
      </w:r>
      <w:r>
        <w:rPr>
          <w:rFonts w:ascii="Times New Roman" w:hAnsi="Times New Roman" w:cs="Times New Roman"/>
          <w:color w:val="auto"/>
          <w:sz w:val="28"/>
          <w:szCs w:val="28"/>
          <w:highlight w:val="none"/>
        </w:rPr>
        <w:t>水厂饮用水水源保护区于20</w:t>
      </w:r>
      <w:r>
        <w:rPr>
          <w:rFonts w:hint="eastAsia" w:ascii="Times New Roman" w:hAnsi="Times New Roman" w:cs="Times New Roman"/>
          <w:color w:val="auto"/>
          <w:sz w:val="28"/>
          <w:szCs w:val="28"/>
          <w:highlight w:val="none"/>
        </w:rPr>
        <w:t>16</w:t>
      </w:r>
      <w:r>
        <w:rPr>
          <w:rFonts w:ascii="Times New Roman" w:hAnsi="Times New Roman" w:cs="Times New Roman"/>
          <w:color w:val="auto"/>
          <w:sz w:val="28"/>
          <w:szCs w:val="28"/>
          <w:highlight w:val="none"/>
        </w:rPr>
        <w:t>年</w:t>
      </w:r>
      <w:r>
        <w:rPr>
          <w:rFonts w:hint="eastAsia" w:ascii="Times New Roman" w:hAnsi="Times New Roman" w:cs="Times New Roman"/>
          <w:color w:val="auto"/>
          <w:sz w:val="28"/>
          <w:szCs w:val="28"/>
          <w:highlight w:val="none"/>
          <w:lang w:val="en-US" w:eastAsia="zh-CN"/>
        </w:rPr>
        <w:t>获得江西省人民政府批复</w:t>
      </w:r>
      <w:r>
        <w:rPr>
          <w:rFonts w:ascii="Times New Roman" w:hAnsi="Times New Roman" w:cs="Times New Roman"/>
          <w:color w:val="auto"/>
          <w:sz w:val="28"/>
          <w:szCs w:val="28"/>
          <w:highlight w:val="none"/>
        </w:rPr>
        <w:t>，属于</w:t>
      </w:r>
      <w:r>
        <w:rPr>
          <w:rFonts w:ascii="Times New Roman" w:hAnsi="Times New Roman" w:cs="Times New Roman"/>
          <w:color w:val="auto"/>
          <w:sz w:val="28"/>
          <w:szCs w:val="28"/>
          <w:highlight w:val="none"/>
          <w:lang w:eastAsia="zh-Hans"/>
        </w:rPr>
        <w:t>河流</w:t>
      </w:r>
      <w:r>
        <w:rPr>
          <w:rFonts w:ascii="Times New Roman" w:hAnsi="Times New Roman" w:cs="Times New Roman"/>
          <w:color w:val="auto"/>
          <w:sz w:val="28"/>
          <w:szCs w:val="28"/>
          <w:highlight w:val="none"/>
        </w:rPr>
        <w:t>型，</w:t>
      </w:r>
      <w:r>
        <w:rPr>
          <w:rFonts w:hint="eastAsia" w:ascii="Times New Roman" w:hAnsi="Times New Roman" w:cs="Times New Roman"/>
          <w:color w:val="auto"/>
          <w:sz w:val="28"/>
          <w:szCs w:val="28"/>
          <w:highlight w:val="none"/>
          <w:lang w:val="en-US" w:eastAsia="zh-CN"/>
        </w:rPr>
        <w:t>保护区范围</w:t>
      </w:r>
      <w:r>
        <w:rPr>
          <w:rFonts w:ascii="Times New Roman" w:hAnsi="Times New Roman" w:cs="Times New Roman"/>
          <w:color w:val="auto"/>
          <w:sz w:val="28"/>
          <w:szCs w:val="28"/>
          <w:highlight w:val="none"/>
        </w:rPr>
        <w:t>见</w:t>
      </w:r>
      <w:r>
        <w:rPr>
          <w:rFonts w:hint="eastAsia" w:ascii="Times New Roman" w:hAnsi="Times New Roman" w:cs="Times New Roman"/>
          <w:color w:val="auto"/>
          <w:sz w:val="28"/>
          <w:szCs w:val="28"/>
          <w:highlight w:val="none"/>
        </w:rPr>
        <w:t>下</w:t>
      </w:r>
      <w:r>
        <w:rPr>
          <w:rFonts w:ascii="Times New Roman" w:hAnsi="Times New Roman" w:cs="Times New Roman"/>
          <w:color w:val="auto"/>
          <w:sz w:val="28"/>
          <w:szCs w:val="28"/>
          <w:highlight w:val="none"/>
        </w:rPr>
        <w:t>表</w:t>
      </w:r>
      <w:r>
        <w:rPr>
          <w:rFonts w:hint="eastAsia" w:ascii="Times New Roman" w:hAnsi="Times New Roman" w:cs="Times New Roman"/>
          <w:color w:val="auto"/>
          <w:sz w:val="28"/>
          <w:szCs w:val="28"/>
          <w:highlight w:val="none"/>
        </w:rPr>
        <w:t>：</w:t>
      </w:r>
    </w:p>
    <w:p w14:paraId="68825F96">
      <w:pPr>
        <w:ind w:firstLine="0" w:firstLineChars="0"/>
        <w:jc w:val="center"/>
        <w:rPr>
          <w:rFonts w:hint="eastAsia"/>
          <w:b/>
          <w:color w:val="auto"/>
          <w:sz w:val="28"/>
          <w:szCs w:val="28"/>
          <w:highlight w:val="none"/>
        </w:rPr>
      </w:pPr>
      <w:r>
        <w:rPr>
          <w:rFonts w:hint="eastAsia"/>
          <w:b/>
          <w:color w:val="auto"/>
          <w:sz w:val="28"/>
          <w:szCs w:val="28"/>
          <w:highlight w:val="none"/>
        </w:rPr>
        <w:t>表</w:t>
      </w:r>
      <w:r>
        <w:rPr>
          <w:rFonts w:hint="eastAsia"/>
          <w:b/>
          <w:color w:val="auto"/>
          <w:sz w:val="28"/>
          <w:szCs w:val="28"/>
          <w:highlight w:val="none"/>
          <w:lang w:val="en-US" w:eastAsia="zh-CN"/>
        </w:rPr>
        <w:t>5</w:t>
      </w:r>
      <w:r>
        <w:rPr>
          <w:rFonts w:hint="eastAsia"/>
          <w:b/>
          <w:color w:val="auto"/>
          <w:sz w:val="28"/>
          <w:szCs w:val="28"/>
          <w:highlight w:val="none"/>
        </w:rPr>
        <w:t>.</w:t>
      </w:r>
      <w:r>
        <w:rPr>
          <w:rFonts w:hint="eastAsia"/>
          <w:b/>
          <w:color w:val="auto"/>
          <w:sz w:val="28"/>
          <w:szCs w:val="28"/>
          <w:highlight w:val="none"/>
          <w:lang w:val="en-US" w:eastAsia="zh-CN"/>
        </w:rPr>
        <w:t>1-</w:t>
      </w:r>
      <w:r>
        <w:rPr>
          <w:rFonts w:hint="eastAsia"/>
          <w:b/>
          <w:color w:val="auto"/>
          <w:sz w:val="28"/>
          <w:szCs w:val="28"/>
          <w:highlight w:val="none"/>
        </w:rPr>
        <w:t>3  饮用水源地保护区划定范围表</w:t>
      </w:r>
    </w:p>
    <w:tbl>
      <w:tblPr>
        <w:tblStyle w:val="7"/>
        <w:tblW w:w="4998" w:type="pct"/>
        <w:jc w:val="center"/>
        <w:tblLayout w:type="fixed"/>
        <w:tblCellMar>
          <w:top w:w="0" w:type="dxa"/>
          <w:left w:w="57" w:type="dxa"/>
          <w:bottom w:w="0" w:type="dxa"/>
          <w:right w:w="57" w:type="dxa"/>
        </w:tblCellMar>
      </w:tblPr>
      <w:tblGrid>
        <w:gridCol w:w="627"/>
        <w:gridCol w:w="538"/>
        <w:gridCol w:w="811"/>
        <w:gridCol w:w="1524"/>
        <w:gridCol w:w="1263"/>
        <w:gridCol w:w="1658"/>
        <w:gridCol w:w="1994"/>
      </w:tblGrid>
      <w:tr w14:paraId="1BF851B5">
        <w:tblPrEx>
          <w:tblCellMar>
            <w:top w:w="0" w:type="dxa"/>
            <w:left w:w="57" w:type="dxa"/>
            <w:bottom w:w="0" w:type="dxa"/>
            <w:right w:w="57" w:type="dxa"/>
          </w:tblCellMar>
        </w:tblPrEx>
        <w:trPr>
          <w:trHeight w:val="425" w:hRule="atLeast"/>
          <w:tblHeader/>
          <w:jc w:val="center"/>
        </w:trPr>
        <w:tc>
          <w:tcPr>
            <w:tcW w:w="372" w:type="pct"/>
            <w:vMerge w:val="restart"/>
            <w:tcBorders>
              <w:top w:val="single" w:color="auto" w:sz="4" w:space="0"/>
              <w:left w:val="single" w:color="auto" w:sz="4" w:space="0"/>
            </w:tcBorders>
            <w:shd w:val="clear" w:color="auto" w:fill="auto"/>
            <w:vAlign w:val="center"/>
          </w:tcPr>
          <w:p w14:paraId="0B669D5C">
            <w:pPr>
              <w:pStyle w:val="10"/>
              <w:jc w:val="center"/>
              <w:rPr>
                <w:rFonts w:ascii="仿宋_GB2312" w:hAnsi="仿宋_GB2312" w:eastAsia="仿宋_GB2312" w:cs="仿宋_GB2312"/>
                <w:b/>
                <w:bCs/>
                <w:color w:val="auto"/>
                <w:kern w:val="2"/>
                <w:sz w:val="21"/>
                <w:szCs w:val="21"/>
                <w:highlight w:val="none"/>
              </w:rPr>
            </w:pPr>
            <w:r>
              <w:rPr>
                <w:rFonts w:hint="eastAsia" w:ascii="仿宋_GB2312" w:hAnsi="仿宋_GB2312" w:eastAsia="仿宋_GB2312" w:cs="仿宋_GB2312"/>
                <w:b/>
                <w:bCs/>
                <w:color w:val="auto"/>
                <w:kern w:val="2"/>
                <w:sz w:val="21"/>
                <w:szCs w:val="21"/>
                <w:highlight w:val="none"/>
              </w:rPr>
              <w:t>水源名称</w:t>
            </w:r>
          </w:p>
        </w:tc>
        <w:tc>
          <w:tcPr>
            <w:tcW w:w="319" w:type="pct"/>
            <w:vMerge w:val="restart"/>
            <w:tcBorders>
              <w:top w:val="single" w:color="auto" w:sz="4" w:space="0"/>
              <w:left w:val="single" w:color="auto" w:sz="4" w:space="0"/>
            </w:tcBorders>
            <w:shd w:val="clear" w:color="auto" w:fill="auto"/>
            <w:vAlign w:val="center"/>
          </w:tcPr>
          <w:p w14:paraId="72578135">
            <w:pPr>
              <w:pStyle w:val="10"/>
              <w:jc w:val="center"/>
              <w:rPr>
                <w:rFonts w:ascii="仿宋_GB2312" w:hAnsi="仿宋_GB2312" w:eastAsia="仿宋_GB2312" w:cs="仿宋_GB2312"/>
                <w:b/>
                <w:bCs/>
                <w:color w:val="auto"/>
                <w:kern w:val="2"/>
                <w:sz w:val="21"/>
                <w:szCs w:val="21"/>
                <w:highlight w:val="none"/>
              </w:rPr>
            </w:pPr>
            <w:r>
              <w:rPr>
                <w:rFonts w:hint="eastAsia" w:ascii="仿宋_GB2312" w:hAnsi="仿宋_GB2312" w:eastAsia="仿宋_GB2312" w:cs="仿宋_GB2312"/>
                <w:b/>
                <w:bCs/>
                <w:color w:val="auto"/>
                <w:kern w:val="2"/>
                <w:sz w:val="21"/>
                <w:szCs w:val="21"/>
                <w:highlight w:val="none"/>
              </w:rPr>
              <w:t>水源类型</w:t>
            </w:r>
          </w:p>
        </w:tc>
        <w:tc>
          <w:tcPr>
            <w:tcW w:w="482" w:type="pct"/>
            <w:vMerge w:val="restart"/>
            <w:tcBorders>
              <w:top w:val="single" w:color="auto" w:sz="4" w:space="0"/>
              <w:left w:val="single" w:color="auto" w:sz="4" w:space="0"/>
            </w:tcBorders>
            <w:shd w:val="clear" w:color="auto" w:fill="auto"/>
            <w:vAlign w:val="center"/>
          </w:tcPr>
          <w:p w14:paraId="2EB2BEF2">
            <w:pPr>
              <w:pStyle w:val="10"/>
              <w:jc w:val="center"/>
              <w:rPr>
                <w:rFonts w:ascii="仿宋_GB2312" w:hAnsi="仿宋_GB2312" w:eastAsia="仿宋_GB2312" w:cs="仿宋_GB2312"/>
                <w:b/>
                <w:bCs/>
                <w:color w:val="auto"/>
                <w:kern w:val="2"/>
                <w:sz w:val="21"/>
                <w:szCs w:val="21"/>
                <w:highlight w:val="none"/>
              </w:rPr>
            </w:pPr>
            <w:r>
              <w:rPr>
                <w:rFonts w:hint="eastAsia" w:ascii="仿宋_GB2312" w:hAnsi="仿宋_GB2312" w:eastAsia="仿宋_GB2312" w:cs="仿宋_GB2312"/>
                <w:b/>
                <w:bCs/>
                <w:color w:val="auto"/>
                <w:kern w:val="2"/>
                <w:sz w:val="21"/>
                <w:szCs w:val="21"/>
                <w:highlight w:val="none"/>
              </w:rPr>
              <w:t>取水口经纬度</w:t>
            </w:r>
          </w:p>
        </w:tc>
        <w:tc>
          <w:tcPr>
            <w:tcW w:w="1656" w:type="pct"/>
            <w:gridSpan w:val="2"/>
            <w:tcBorders>
              <w:top w:val="single" w:color="auto" w:sz="4" w:space="0"/>
              <w:left w:val="single" w:color="auto" w:sz="4" w:space="0"/>
            </w:tcBorders>
            <w:shd w:val="clear" w:color="auto" w:fill="auto"/>
            <w:vAlign w:val="center"/>
          </w:tcPr>
          <w:p w14:paraId="788AA648">
            <w:pPr>
              <w:pStyle w:val="10"/>
              <w:jc w:val="center"/>
              <w:rPr>
                <w:rFonts w:ascii="仿宋_GB2312" w:hAnsi="仿宋_GB2312" w:eastAsia="仿宋_GB2312" w:cs="仿宋_GB2312"/>
                <w:b/>
                <w:bCs/>
                <w:color w:val="auto"/>
                <w:kern w:val="2"/>
                <w:sz w:val="21"/>
                <w:szCs w:val="21"/>
                <w:highlight w:val="none"/>
              </w:rPr>
            </w:pPr>
            <w:r>
              <w:rPr>
                <w:rFonts w:hint="eastAsia" w:ascii="仿宋_GB2312" w:hAnsi="仿宋_GB2312" w:eastAsia="仿宋_GB2312" w:cs="仿宋_GB2312"/>
                <w:b/>
                <w:bCs/>
                <w:color w:val="auto"/>
                <w:kern w:val="2"/>
                <w:sz w:val="21"/>
                <w:szCs w:val="21"/>
                <w:highlight w:val="none"/>
              </w:rPr>
              <w:t>一级保护区</w:t>
            </w:r>
          </w:p>
        </w:tc>
        <w:tc>
          <w:tcPr>
            <w:tcW w:w="2169" w:type="pct"/>
            <w:gridSpan w:val="2"/>
            <w:tcBorders>
              <w:top w:val="single" w:color="auto" w:sz="4" w:space="0"/>
              <w:left w:val="single" w:color="auto" w:sz="4" w:space="0"/>
              <w:right w:val="single" w:color="auto" w:sz="4" w:space="0"/>
            </w:tcBorders>
            <w:shd w:val="clear" w:color="auto" w:fill="auto"/>
            <w:vAlign w:val="center"/>
          </w:tcPr>
          <w:p w14:paraId="1CD922A5">
            <w:pPr>
              <w:pStyle w:val="10"/>
              <w:jc w:val="center"/>
              <w:rPr>
                <w:rFonts w:ascii="仿宋_GB2312" w:hAnsi="仿宋_GB2312" w:eastAsia="仿宋_GB2312" w:cs="仿宋_GB2312"/>
                <w:b/>
                <w:bCs/>
                <w:color w:val="auto"/>
                <w:kern w:val="2"/>
                <w:sz w:val="21"/>
                <w:szCs w:val="21"/>
                <w:highlight w:val="none"/>
              </w:rPr>
            </w:pPr>
            <w:r>
              <w:rPr>
                <w:rFonts w:hint="eastAsia" w:ascii="仿宋_GB2312" w:hAnsi="仿宋_GB2312" w:eastAsia="仿宋_GB2312" w:cs="仿宋_GB2312"/>
                <w:b/>
                <w:bCs/>
                <w:color w:val="auto"/>
                <w:kern w:val="2"/>
                <w:sz w:val="21"/>
                <w:szCs w:val="21"/>
                <w:highlight w:val="none"/>
              </w:rPr>
              <w:t>二级保护区</w:t>
            </w:r>
          </w:p>
        </w:tc>
      </w:tr>
      <w:tr w14:paraId="2E654EA4">
        <w:tblPrEx>
          <w:tblCellMar>
            <w:top w:w="0" w:type="dxa"/>
            <w:left w:w="57" w:type="dxa"/>
            <w:bottom w:w="0" w:type="dxa"/>
            <w:right w:w="57" w:type="dxa"/>
          </w:tblCellMar>
        </w:tblPrEx>
        <w:trPr>
          <w:trHeight w:val="425" w:hRule="atLeast"/>
          <w:tblHeader/>
          <w:jc w:val="center"/>
        </w:trPr>
        <w:tc>
          <w:tcPr>
            <w:tcW w:w="372" w:type="pct"/>
            <w:vMerge w:val="continue"/>
            <w:tcBorders>
              <w:left w:val="single" w:color="auto" w:sz="4" w:space="0"/>
            </w:tcBorders>
            <w:shd w:val="clear" w:color="auto" w:fill="auto"/>
            <w:vAlign w:val="center"/>
          </w:tcPr>
          <w:p w14:paraId="16C61CE0">
            <w:pPr>
              <w:pStyle w:val="10"/>
              <w:jc w:val="center"/>
              <w:rPr>
                <w:rFonts w:ascii="仿宋_GB2312" w:hAnsi="仿宋_GB2312" w:eastAsia="仿宋_GB2312" w:cs="仿宋_GB2312"/>
                <w:b/>
                <w:bCs/>
                <w:color w:val="auto"/>
                <w:kern w:val="2"/>
                <w:sz w:val="21"/>
                <w:szCs w:val="21"/>
                <w:highlight w:val="none"/>
              </w:rPr>
            </w:pPr>
          </w:p>
        </w:tc>
        <w:tc>
          <w:tcPr>
            <w:tcW w:w="319" w:type="pct"/>
            <w:vMerge w:val="continue"/>
            <w:tcBorders>
              <w:left w:val="single" w:color="auto" w:sz="4" w:space="0"/>
            </w:tcBorders>
            <w:shd w:val="clear" w:color="auto" w:fill="auto"/>
            <w:textDirection w:val="tbRlV"/>
            <w:vAlign w:val="center"/>
          </w:tcPr>
          <w:p w14:paraId="3439868C">
            <w:pPr>
              <w:pStyle w:val="10"/>
              <w:jc w:val="center"/>
              <w:rPr>
                <w:rFonts w:ascii="仿宋_GB2312" w:hAnsi="仿宋_GB2312" w:eastAsia="仿宋_GB2312" w:cs="仿宋_GB2312"/>
                <w:b/>
                <w:bCs/>
                <w:color w:val="auto"/>
                <w:kern w:val="2"/>
                <w:sz w:val="21"/>
                <w:szCs w:val="21"/>
                <w:highlight w:val="none"/>
              </w:rPr>
            </w:pPr>
          </w:p>
        </w:tc>
        <w:tc>
          <w:tcPr>
            <w:tcW w:w="482" w:type="pct"/>
            <w:vMerge w:val="continue"/>
            <w:tcBorders>
              <w:left w:val="single" w:color="auto" w:sz="4" w:space="0"/>
            </w:tcBorders>
            <w:shd w:val="clear" w:color="auto" w:fill="auto"/>
            <w:vAlign w:val="center"/>
          </w:tcPr>
          <w:p w14:paraId="609C6224">
            <w:pPr>
              <w:pStyle w:val="10"/>
              <w:jc w:val="center"/>
              <w:rPr>
                <w:rFonts w:ascii="仿宋_GB2312" w:hAnsi="仿宋_GB2312" w:eastAsia="仿宋_GB2312" w:cs="仿宋_GB2312"/>
                <w:b/>
                <w:bCs/>
                <w:color w:val="auto"/>
                <w:kern w:val="2"/>
                <w:sz w:val="21"/>
                <w:szCs w:val="21"/>
                <w:highlight w:val="none"/>
              </w:rPr>
            </w:pPr>
          </w:p>
        </w:tc>
        <w:tc>
          <w:tcPr>
            <w:tcW w:w="906" w:type="pct"/>
            <w:tcBorders>
              <w:top w:val="single" w:color="auto" w:sz="4" w:space="0"/>
              <w:left w:val="single" w:color="auto" w:sz="4" w:space="0"/>
            </w:tcBorders>
            <w:shd w:val="clear" w:color="auto" w:fill="auto"/>
            <w:vAlign w:val="center"/>
          </w:tcPr>
          <w:p w14:paraId="3E535012">
            <w:pPr>
              <w:pStyle w:val="10"/>
              <w:jc w:val="center"/>
              <w:rPr>
                <w:rFonts w:ascii="仿宋_GB2312" w:hAnsi="仿宋_GB2312" w:eastAsia="仿宋_GB2312" w:cs="仿宋_GB2312"/>
                <w:b/>
                <w:bCs/>
                <w:color w:val="auto"/>
                <w:kern w:val="2"/>
                <w:sz w:val="21"/>
                <w:szCs w:val="21"/>
                <w:highlight w:val="none"/>
              </w:rPr>
            </w:pPr>
            <w:r>
              <w:rPr>
                <w:rFonts w:hint="eastAsia" w:ascii="仿宋_GB2312" w:hAnsi="仿宋_GB2312" w:eastAsia="仿宋_GB2312" w:cs="仿宋_GB2312"/>
                <w:b/>
                <w:bCs/>
                <w:color w:val="auto"/>
                <w:kern w:val="2"/>
                <w:sz w:val="21"/>
                <w:szCs w:val="21"/>
                <w:highlight w:val="none"/>
              </w:rPr>
              <w:t>水域</w:t>
            </w:r>
          </w:p>
        </w:tc>
        <w:tc>
          <w:tcPr>
            <w:tcW w:w="750" w:type="pct"/>
            <w:tcBorders>
              <w:top w:val="single" w:color="auto" w:sz="4" w:space="0"/>
              <w:left w:val="single" w:color="auto" w:sz="4" w:space="0"/>
            </w:tcBorders>
            <w:shd w:val="clear" w:color="auto" w:fill="auto"/>
            <w:vAlign w:val="center"/>
          </w:tcPr>
          <w:p w14:paraId="63160363">
            <w:pPr>
              <w:pStyle w:val="10"/>
              <w:jc w:val="center"/>
              <w:rPr>
                <w:rFonts w:ascii="仿宋_GB2312" w:hAnsi="仿宋_GB2312" w:eastAsia="仿宋_GB2312" w:cs="仿宋_GB2312"/>
                <w:b/>
                <w:bCs/>
                <w:color w:val="auto"/>
                <w:kern w:val="2"/>
                <w:sz w:val="21"/>
                <w:szCs w:val="21"/>
                <w:highlight w:val="none"/>
              </w:rPr>
            </w:pPr>
            <w:r>
              <w:rPr>
                <w:rFonts w:hint="eastAsia" w:ascii="仿宋_GB2312" w:hAnsi="仿宋_GB2312" w:eastAsia="仿宋_GB2312" w:cs="仿宋_GB2312"/>
                <w:b/>
                <w:bCs/>
                <w:color w:val="auto"/>
                <w:kern w:val="2"/>
                <w:sz w:val="21"/>
                <w:szCs w:val="21"/>
                <w:highlight w:val="none"/>
              </w:rPr>
              <w:t>陆域</w:t>
            </w:r>
          </w:p>
        </w:tc>
        <w:tc>
          <w:tcPr>
            <w:tcW w:w="985" w:type="pct"/>
            <w:tcBorders>
              <w:top w:val="single" w:color="auto" w:sz="4" w:space="0"/>
              <w:left w:val="single" w:color="auto" w:sz="4" w:space="0"/>
            </w:tcBorders>
            <w:shd w:val="clear" w:color="auto" w:fill="auto"/>
            <w:vAlign w:val="center"/>
          </w:tcPr>
          <w:p w14:paraId="2411CB0B">
            <w:pPr>
              <w:pStyle w:val="10"/>
              <w:jc w:val="center"/>
              <w:rPr>
                <w:rFonts w:ascii="仿宋_GB2312" w:hAnsi="仿宋_GB2312" w:eastAsia="仿宋_GB2312" w:cs="仿宋_GB2312"/>
                <w:b/>
                <w:bCs/>
                <w:color w:val="auto"/>
                <w:kern w:val="2"/>
                <w:sz w:val="21"/>
                <w:szCs w:val="21"/>
                <w:highlight w:val="none"/>
              </w:rPr>
            </w:pPr>
            <w:r>
              <w:rPr>
                <w:rFonts w:hint="eastAsia" w:ascii="仿宋_GB2312" w:hAnsi="仿宋_GB2312" w:eastAsia="仿宋_GB2312" w:cs="仿宋_GB2312"/>
                <w:b/>
                <w:bCs/>
                <w:color w:val="auto"/>
                <w:kern w:val="2"/>
                <w:sz w:val="21"/>
                <w:szCs w:val="21"/>
                <w:highlight w:val="none"/>
              </w:rPr>
              <w:t>水域</w:t>
            </w:r>
          </w:p>
        </w:tc>
        <w:tc>
          <w:tcPr>
            <w:tcW w:w="1183" w:type="pct"/>
            <w:tcBorders>
              <w:top w:val="single" w:color="auto" w:sz="4" w:space="0"/>
              <w:left w:val="single" w:color="auto" w:sz="4" w:space="0"/>
              <w:right w:val="single" w:color="auto" w:sz="4" w:space="0"/>
            </w:tcBorders>
            <w:shd w:val="clear" w:color="auto" w:fill="auto"/>
            <w:vAlign w:val="center"/>
          </w:tcPr>
          <w:p w14:paraId="33574221">
            <w:pPr>
              <w:pStyle w:val="10"/>
              <w:jc w:val="center"/>
              <w:rPr>
                <w:rFonts w:ascii="仿宋_GB2312" w:hAnsi="仿宋_GB2312" w:eastAsia="仿宋_GB2312" w:cs="仿宋_GB2312"/>
                <w:b/>
                <w:bCs/>
                <w:color w:val="auto"/>
                <w:kern w:val="2"/>
                <w:sz w:val="21"/>
                <w:szCs w:val="21"/>
                <w:highlight w:val="none"/>
              </w:rPr>
            </w:pPr>
            <w:r>
              <w:rPr>
                <w:rFonts w:hint="eastAsia" w:ascii="仿宋_GB2312" w:hAnsi="仿宋_GB2312" w:eastAsia="仿宋_GB2312" w:cs="仿宋_GB2312"/>
                <w:b/>
                <w:bCs/>
                <w:color w:val="auto"/>
                <w:kern w:val="2"/>
                <w:sz w:val="21"/>
                <w:szCs w:val="21"/>
                <w:highlight w:val="none"/>
              </w:rPr>
              <w:t>陆域</w:t>
            </w:r>
          </w:p>
        </w:tc>
      </w:tr>
      <w:tr w14:paraId="28A93732">
        <w:tblPrEx>
          <w:tblCellMar>
            <w:top w:w="0" w:type="dxa"/>
            <w:left w:w="57" w:type="dxa"/>
            <w:bottom w:w="0" w:type="dxa"/>
            <w:right w:w="57" w:type="dxa"/>
          </w:tblCellMar>
        </w:tblPrEx>
        <w:trPr>
          <w:trHeight w:val="425" w:hRule="atLeast"/>
          <w:jc w:val="center"/>
        </w:trPr>
        <w:tc>
          <w:tcPr>
            <w:tcW w:w="372" w:type="pct"/>
            <w:tcBorders>
              <w:top w:val="single" w:color="auto" w:sz="4" w:space="0"/>
              <w:left w:val="single" w:color="auto" w:sz="4" w:space="0"/>
              <w:bottom w:val="single" w:color="auto" w:sz="4" w:space="0"/>
            </w:tcBorders>
            <w:shd w:val="clear" w:color="auto" w:fill="auto"/>
            <w:vAlign w:val="center"/>
          </w:tcPr>
          <w:p w14:paraId="232A9D71">
            <w:pPr>
              <w:pStyle w:val="10"/>
              <w:jc w:val="center"/>
              <w:rPr>
                <w:rFonts w:hint="eastAsia"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城北水厂饮用水源地</w:t>
            </w:r>
          </w:p>
        </w:tc>
        <w:tc>
          <w:tcPr>
            <w:tcW w:w="319" w:type="pct"/>
            <w:tcBorders>
              <w:top w:val="single" w:color="auto" w:sz="4" w:space="0"/>
              <w:left w:val="single" w:color="auto" w:sz="4" w:space="0"/>
              <w:bottom w:val="single" w:color="auto" w:sz="4" w:space="0"/>
            </w:tcBorders>
            <w:shd w:val="clear" w:color="auto" w:fill="auto"/>
            <w:vAlign w:val="center"/>
          </w:tcPr>
          <w:p w14:paraId="415B517C">
            <w:pPr>
              <w:pStyle w:val="10"/>
              <w:jc w:val="center"/>
              <w:rPr>
                <w:rFonts w:hint="eastAsia"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河流型</w:t>
            </w:r>
          </w:p>
        </w:tc>
        <w:tc>
          <w:tcPr>
            <w:tcW w:w="482" w:type="pct"/>
            <w:tcBorders>
              <w:top w:val="single" w:color="auto" w:sz="4" w:space="0"/>
              <w:left w:val="single" w:color="auto" w:sz="4" w:space="0"/>
              <w:bottom w:val="single" w:color="auto" w:sz="4" w:space="0"/>
            </w:tcBorders>
            <w:shd w:val="clear" w:color="auto" w:fill="auto"/>
            <w:vAlign w:val="center"/>
          </w:tcPr>
          <w:p w14:paraId="6948C0CB">
            <w:pPr>
              <w:pStyle w:val="10"/>
              <w:jc w:val="center"/>
              <w:rPr>
                <w:rFonts w:hint="eastAsia"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E115°53′2.4″</w:t>
            </w:r>
          </w:p>
          <w:p w14:paraId="1B19E074">
            <w:pPr>
              <w:pStyle w:val="10"/>
              <w:jc w:val="center"/>
              <w:rPr>
                <w:rFonts w:hint="eastAsia"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N28°43′12.37″</w:t>
            </w:r>
          </w:p>
        </w:tc>
        <w:tc>
          <w:tcPr>
            <w:tcW w:w="906" w:type="pct"/>
            <w:tcBorders>
              <w:top w:val="single" w:color="auto" w:sz="4" w:space="0"/>
              <w:left w:val="single" w:color="auto" w:sz="4" w:space="0"/>
              <w:bottom w:val="single" w:color="auto" w:sz="4" w:space="0"/>
            </w:tcBorders>
            <w:shd w:val="clear" w:color="auto" w:fill="auto"/>
            <w:vAlign w:val="center"/>
          </w:tcPr>
          <w:p w14:paraId="4C412371">
            <w:pPr>
              <w:spacing w:line="280" w:lineRule="exact"/>
              <w:ind w:firstLine="420"/>
              <w:rPr>
                <w:rFonts w:hint="eastAsia"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取水口处起上游上溯至双港水厂一级保护区上边界，下游向下延伸100m范围的河道水域，宽度为洪水期取水口侧堤脚起至赣江西支航道中心线止；面积0.21</w:t>
            </w:r>
            <w:r>
              <w:rPr>
                <w:rFonts w:hint="eastAsia" w:ascii="仿宋_GB2312" w:hAnsi="仿宋_GB2312" w:eastAsia="仿宋_GB2312" w:cs="仿宋_GB2312"/>
                <w:color w:val="auto"/>
                <w:kern w:val="2"/>
                <w:sz w:val="21"/>
                <w:szCs w:val="21"/>
                <w:highlight w:val="none"/>
                <w:lang w:val="en-US" w:eastAsia="zh-CN"/>
              </w:rPr>
              <w:t>km</w:t>
            </w:r>
            <w:r>
              <w:rPr>
                <w:rFonts w:hint="eastAsia" w:ascii="仿宋_GB2312" w:hAnsi="仿宋_GB2312" w:eastAsia="仿宋_GB2312" w:cs="仿宋_GB2312"/>
                <w:color w:val="auto"/>
                <w:kern w:val="2"/>
                <w:sz w:val="21"/>
                <w:szCs w:val="21"/>
                <w:highlight w:val="none"/>
                <w:vertAlign w:val="superscript"/>
                <w:lang w:val="en-US" w:eastAsia="zh-CN"/>
              </w:rPr>
              <w:t>2</w:t>
            </w:r>
            <w:r>
              <w:rPr>
                <w:rFonts w:hint="eastAsia" w:ascii="仿宋_GB2312" w:hAnsi="仿宋_GB2312" w:eastAsia="仿宋_GB2312" w:cs="仿宋_GB2312"/>
                <w:color w:val="auto"/>
                <w:kern w:val="2"/>
                <w:sz w:val="21"/>
                <w:szCs w:val="21"/>
                <w:highlight w:val="none"/>
              </w:rPr>
              <w:t>。</w:t>
            </w:r>
          </w:p>
        </w:tc>
        <w:tc>
          <w:tcPr>
            <w:tcW w:w="750" w:type="pct"/>
            <w:tcBorders>
              <w:top w:val="single" w:color="auto" w:sz="4" w:space="0"/>
              <w:left w:val="single" w:color="auto" w:sz="4" w:space="0"/>
              <w:bottom w:val="single" w:color="auto" w:sz="4" w:space="0"/>
            </w:tcBorders>
            <w:shd w:val="clear" w:color="auto" w:fill="auto"/>
            <w:vAlign w:val="center"/>
          </w:tcPr>
          <w:p w14:paraId="5F025D95">
            <w:pPr>
              <w:spacing w:line="300" w:lineRule="exact"/>
              <w:ind w:firstLine="420"/>
              <w:rPr>
                <w:rFonts w:hint="eastAsia"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长度与相应的一级保护区水域等长，宽度为取水口一侧滩地以及迎水面堤脚向背水面延伸至赣江防洪大堤内侧的范围；面积0.08</w:t>
            </w:r>
            <w:r>
              <w:rPr>
                <w:rFonts w:hint="eastAsia" w:ascii="仿宋_GB2312" w:hAnsi="仿宋_GB2312" w:eastAsia="仿宋_GB2312" w:cs="仿宋_GB2312"/>
                <w:color w:val="auto"/>
                <w:kern w:val="2"/>
                <w:sz w:val="21"/>
                <w:szCs w:val="21"/>
                <w:highlight w:val="none"/>
                <w:lang w:val="en-US" w:eastAsia="zh-CN"/>
              </w:rPr>
              <w:t>km</w:t>
            </w:r>
            <w:r>
              <w:rPr>
                <w:rFonts w:hint="eastAsia" w:ascii="仿宋_GB2312" w:hAnsi="仿宋_GB2312" w:eastAsia="仿宋_GB2312" w:cs="仿宋_GB2312"/>
                <w:color w:val="auto"/>
                <w:kern w:val="2"/>
                <w:sz w:val="21"/>
                <w:szCs w:val="21"/>
                <w:highlight w:val="none"/>
                <w:vertAlign w:val="superscript"/>
                <w:lang w:val="en-US" w:eastAsia="zh-CN"/>
              </w:rPr>
              <w:t>2</w:t>
            </w:r>
            <w:r>
              <w:rPr>
                <w:rFonts w:hint="eastAsia" w:ascii="仿宋_GB2312" w:hAnsi="仿宋_GB2312" w:eastAsia="仿宋_GB2312" w:cs="仿宋_GB2312"/>
                <w:color w:val="auto"/>
                <w:kern w:val="2"/>
                <w:sz w:val="21"/>
                <w:szCs w:val="21"/>
                <w:highlight w:val="none"/>
              </w:rPr>
              <w:t>。</w:t>
            </w:r>
          </w:p>
        </w:tc>
        <w:tc>
          <w:tcPr>
            <w:tcW w:w="985" w:type="pct"/>
            <w:tcBorders>
              <w:top w:val="single" w:color="auto" w:sz="4" w:space="0"/>
              <w:left w:val="single" w:color="auto" w:sz="4" w:space="0"/>
              <w:bottom w:val="single" w:color="auto" w:sz="4" w:space="0"/>
            </w:tcBorders>
            <w:shd w:val="clear" w:color="auto" w:fill="auto"/>
            <w:vAlign w:val="center"/>
          </w:tcPr>
          <w:p w14:paraId="34FD34CF">
            <w:pPr>
              <w:spacing w:line="300" w:lineRule="exact"/>
              <w:ind w:firstLine="420"/>
              <w:rPr>
                <w:rFonts w:hint="eastAsia"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一级保护区上边界向上溯至下正街水厂一级保护区下游边界，一级保护区下边界向下游延伸200m的水域范围，长度约2700m；宽度为向取水口相对一侧扩展至整个赣江西支河道范围；面积1.12</w:t>
            </w:r>
            <w:r>
              <w:rPr>
                <w:rFonts w:hint="eastAsia" w:ascii="仿宋_GB2312" w:hAnsi="仿宋_GB2312" w:eastAsia="仿宋_GB2312" w:cs="仿宋_GB2312"/>
                <w:color w:val="auto"/>
                <w:kern w:val="2"/>
                <w:sz w:val="21"/>
                <w:szCs w:val="21"/>
                <w:highlight w:val="none"/>
                <w:lang w:val="en-US" w:eastAsia="zh-CN"/>
              </w:rPr>
              <w:t>km</w:t>
            </w:r>
            <w:r>
              <w:rPr>
                <w:rFonts w:hint="eastAsia" w:ascii="仿宋_GB2312" w:hAnsi="仿宋_GB2312" w:eastAsia="仿宋_GB2312" w:cs="仿宋_GB2312"/>
                <w:color w:val="auto"/>
                <w:kern w:val="2"/>
                <w:sz w:val="21"/>
                <w:szCs w:val="21"/>
                <w:highlight w:val="none"/>
                <w:vertAlign w:val="superscript"/>
                <w:lang w:val="en-US" w:eastAsia="zh-CN"/>
              </w:rPr>
              <w:t>2</w:t>
            </w:r>
            <w:r>
              <w:rPr>
                <w:rFonts w:hint="eastAsia" w:ascii="仿宋_GB2312" w:hAnsi="仿宋_GB2312" w:eastAsia="仿宋_GB2312" w:cs="仿宋_GB2312"/>
                <w:color w:val="auto"/>
                <w:kern w:val="2"/>
                <w:sz w:val="21"/>
                <w:szCs w:val="21"/>
                <w:highlight w:val="none"/>
              </w:rPr>
              <w:t>。</w:t>
            </w:r>
          </w:p>
        </w:tc>
        <w:tc>
          <w:tcPr>
            <w:tcW w:w="1183" w:type="pct"/>
            <w:tcBorders>
              <w:top w:val="single" w:color="auto" w:sz="4" w:space="0"/>
              <w:left w:val="single" w:color="auto" w:sz="4" w:space="0"/>
              <w:bottom w:val="single" w:color="auto" w:sz="4" w:space="0"/>
              <w:right w:val="single" w:color="auto" w:sz="4" w:space="0"/>
            </w:tcBorders>
            <w:shd w:val="clear" w:color="auto" w:fill="auto"/>
            <w:vAlign w:val="center"/>
          </w:tcPr>
          <w:p w14:paraId="52FCC3AE">
            <w:pPr>
              <w:spacing w:line="300" w:lineRule="exact"/>
              <w:ind w:firstLine="420"/>
              <w:rPr>
                <w:rFonts w:hint="eastAsia"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长度与相应的二级保护区水域等长，取水口侧陆域宽度为取水口一侧滩地以及迎水面堤脚向背水面延伸至赣江防洪大堤内侧的范围，取水口对岸陆域宽度为扬子洲地区所有汇入赣江西支的集水区域；面积0.48</w:t>
            </w:r>
            <w:r>
              <w:rPr>
                <w:rFonts w:hint="eastAsia" w:ascii="仿宋_GB2312" w:hAnsi="仿宋_GB2312" w:eastAsia="仿宋_GB2312" w:cs="仿宋_GB2312"/>
                <w:color w:val="auto"/>
                <w:kern w:val="2"/>
                <w:sz w:val="21"/>
                <w:szCs w:val="21"/>
                <w:highlight w:val="none"/>
                <w:lang w:val="en-US" w:eastAsia="zh-CN"/>
              </w:rPr>
              <w:t>km</w:t>
            </w:r>
            <w:r>
              <w:rPr>
                <w:rFonts w:hint="eastAsia" w:ascii="仿宋_GB2312" w:hAnsi="仿宋_GB2312" w:eastAsia="仿宋_GB2312" w:cs="仿宋_GB2312"/>
                <w:color w:val="auto"/>
                <w:kern w:val="2"/>
                <w:sz w:val="21"/>
                <w:szCs w:val="21"/>
                <w:highlight w:val="none"/>
                <w:vertAlign w:val="superscript"/>
                <w:lang w:val="en-US" w:eastAsia="zh-CN"/>
              </w:rPr>
              <w:t>2</w:t>
            </w:r>
            <w:r>
              <w:rPr>
                <w:rFonts w:hint="eastAsia" w:ascii="仿宋_GB2312" w:hAnsi="仿宋_GB2312" w:eastAsia="仿宋_GB2312" w:cs="仿宋_GB2312"/>
                <w:color w:val="auto"/>
                <w:kern w:val="2"/>
                <w:sz w:val="21"/>
                <w:szCs w:val="21"/>
                <w:highlight w:val="none"/>
              </w:rPr>
              <w:t>。</w:t>
            </w:r>
          </w:p>
        </w:tc>
      </w:tr>
    </w:tbl>
    <w:p w14:paraId="2F617BF4">
      <w:pPr>
        <w:pStyle w:val="4"/>
        <w:bidi w:val="0"/>
        <w:rPr>
          <w:rFonts w:hint="default"/>
          <w:color w:val="auto"/>
          <w:highlight w:val="none"/>
          <w:lang w:val="en-US" w:eastAsia="zh-CN"/>
        </w:rPr>
      </w:pPr>
      <w:r>
        <w:rPr>
          <w:rFonts w:hint="eastAsia"/>
          <w:color w:val="auto"/>
          <w:highlight w:val="none"/>
          <w:lang w:val="en-US" w:eastAsia="zh-CN"/>
        </w:rPr>
        <w:t>5.1.4昌南水厂饮用水源地</w:t>
      </w:r>
    </w:p>
    <w:p w14:paraId="48960337">
      <w:pPr>
        <w:ind w:firstLine="560"/>
        <w:rPr>
          <w:rFonts w:hint="eastAsia" w:ascii="Times New Roman" w:hAnsi="Times New Roman" w:cs="Times New Roman"/>
          <w:color w:val="auto"/>
          <w:sz w:val="28"/>
          <w:szCs w:val="28"/>
          <w:highlight w:val="none"/>
          <w:lang w:eastAsia="zh-CN"/>
        </w:rPr>
      </w:pPr>
      <w:r>
        <w:rPr>
          <w:rFonts w:hint="eastAsia" w:ascii="Times New Roman" w:hAnsi="Times New Roman" w:cs="Times New Roman"/>
          <w:color w:val="auto"/>
          <w:sz w:val="28"/>
          <w:szCs w:val="28"/>
          <w:highlight w:val="none"/>
          <w:lang w:val="en-US" w:eastAsia="zh-CN"/>
        </w:rPr>
        <w:t>昌南</w:t>
      </w:r>
      <w:r>
        <w:rPr>
          <w:rFonts w:hint="eastAsia" w:ascii="Times New Roman" w:hAnsi="Times New Roman" w:cs="Times New Roman"/>
          <w:color w:val="auto"/>
          <w:sz w:val="28"/>
          <w:szCs w:val="28"/>
          <w:highlight w:val="none"/>
        </w:rPr>
        <w:t>水厂</w:t>
      </w:r>
      <w:r>
        <w:rPr>
          <w:rFonts w:hint="eastAsia" w:ascii="Times New Roman" w:hAnsi="Times New Roman" w:cs="Times New Roman"/>
          <w:color w:val="auto"/>
          <w:sz w:val="28"/>
          <w:szCs w:val="28"/>
          <w:highlight w:val="none"/>
          <w:lang w:val="en-US" w:eastAsia="zh-CN"/>
        </w:rPr>
        <w:t>水</w:t>
      </w:r>
      <w:r>
        <w:rPr>
          <w:rFonts w:hint="eastAsia" w:ascii="Times New Roman" w:hAnsi="Times New Roman" w:cs="Times New Roman"/>
          <w:color w:val="auto"/>
          <w:sz w:val="28"/>
          <w:szCs w:val="28"/>
          <w:highlight w:val="none"/>
        </w:rPr>
        <w:t>源地取水来自赣江，共</w:t>
      </w:r>
      <w:r>
        <w:rPr>
          <w:rFonts w:hint="eastAsia" w:ascii="Times New Roman" w:hAnsi="Times New Roman" w:cs="Times New Roman"/>
          <w:color w:val="auto"/>
          <w:sz w:val="28"/>
          <w:szCs w:val="28"/>
          <w:highlight w:val="none"/>
          <w:lang w:val="en-US" w:eastAsia="zh-CN"/>
        </w:rPr>
        <w:t>设3</w:t>
      </w:r>
      <w:r>
        <w:rPr>
          <w:rFonts w:hint="eastAsia" w:ascii="Times New Roman" w:hAnsi="Times New Roman" w:cs="Times New Roman"/>
          <w:color w:val="auto"/>
          <w:sz w:val="28"/>
          <w:szCs w:val="28"/>
          <w:highlight w:val="none"/>
        </w:rPr>
        <w:t>个取水口</w:t>
      </w:r>
      <w:r>
        <w:rPr>
          <w:rFonts w:hint="eastAsia" w:ascii="Times New Roman" w:hAnsi="Times New Roman" w:cs="Times New Roman"/>
          <w:color w:val="auto"/>
          <w:sz w:val="28"/>
          <w:szCs w:val="28"/>
          <w:highlight w:val="none"/>
          <w:lang w:eastAsia="zh-CN"/>
        </w:rPr>
        <w:t>，</w:t>
      </w:r>
      <w:r>
        <w:rPr>
          <w:rFonts w:hint="eastAsia" w:ascii="Times New Roman" w:hAnsi="Times New Roman" w:cs="Times New Roman"/>
          <w:color w:val="auto"/>
          <w:sz w:val="28"/>
          <w:szCs w:val="28"/>
          <w:highlight w:val="none"/>
          <w:lang w:val="en-US" w:eastAsia="zh-CN"/>
        </w:rPr>
        <w:t>服务范围</w:t>
      </w:r>
      <w:r>
        <w:rPr>
          <w:rFonts w:hint="eastAsia" w:ascii="Times New Roman" w:hAnsi="Times New Roman" w:cs="Times New Roman"/>
          <w:color w:val="auto"/>
          <w:sz w:val="28"/>
          <w:szCs w:val="28"/>
          <w:highlight w:val="none"/>
        </w:rPr>
        <w:t>为象湖新城、小蓝经济开发区、银三角街道办、莲塘镇街道办、富山乡等地区，供水人数共计</w:t>
      </w:r>
      <w:r>
        <w:rPr>
          <w:rFonts w:hint="eastAsia" w:ascii="Times New Roman" w:hAnsi="Times New Roman" w:cs="Times New Roman"/>
          <w:color w:val="auto"/>
          <w:sz w:val="28"/>
          <w:szCs w:val="28"/>
          <w:highlight w:val="none"/>
          <w:lang w:val="en-US" w:eastAsia="zh-CN"/>
        </w:rPr>
        <w:t>55</w:t>
      </w:r>
      <w:r>
        <w:rPr>
          <w:rFonts w:hint="eastAsia" w:ascii="Times New Roman" w:hAnsi="Times New Roman" w:cs="Times New Roman"/>
          <w:color w:val="auto"/>
          <w:sz w:val="28"/>
          <w:szCs w:val="28"/>
          <w:highlight w:val="none"/>
        </w:rPr>
        <w:t>万人，日供水规模</w:t>
      </w:r>
      <w:r>
        <w:rPr>
          <w:rFonts w:hint="eastAsia" w:ascii="Times New Roman" w:hAnsi="Times New Roman" w:cs="Times New Roman"/>
          <w:color w:val="auto"/>
          <w:sz w:val="28"/>
          <w:szCs w:val="28"/>
          <w:highlight w:val="none"/>
          <w:lang w:val="en-US" w:eastAsia="zh-CN"/>
        </w:rPr>
        <w:t>25</w:t>
      </w:r>
      <w:r>
        <w:rPr>
          <w:rFonts w:hint="eastAsia" w:ascii="Times New Roman" w:hAnsi="Times New Roman" w:cs="Times New Roman"/>
          <w:color w:val="auto"/>
          <w:sz w:val="28"/>
          <w:szCs w:val="28"/>
          <w:highlight w:val="none"/>
        </w:rPr>
        <w:t>万吨，1#取水口中心地理坐标为：</w:t>
      </w:r>
      <w:r>
        <w:rPr>
          <w:rFonts w:hint="eastAsia" w:ascii="Times New Roman" w:hAnsi="Times New Roman" w:cs="Times New Roman"/>
          <w:color w:val="auto"/>
          <w:sz w:val="28"/>
          <w:szCs w:val="28"/>
          <w:highlight w:val="none"/>
          <w:lang w:val="en-US" w:eastAsia="zh-CN"/>
        </w:rPr>
        <w:t>E</w:t>
      </w:r>
      <w:r>
        <w:rPr>
          <w:rFonts w:hint="eastAsia" w:ascii="Times New Roman" w:hAnsi="Times New Roman" w:cs="Times New Roman"/>
          <w:color w:val="auto"/>
          <w:sz w:val="28"/>
          <w:szCs w:val="28"/>
          <w:highlight w:val="none"/>
        </w:rPr>
        <w:t>115</w:t>
      </w:r>
      <w:r>
        <w:rPr>
          <w:rFonts w:hint="eastAsia" w:ascii="Times New Roman" w:hAnsi="Times New Roman" w:cs="Times New Roman"/>
          <w:color w:val="auto"/>
          <w:sz w:val="28"/>
          <w:szCs w:val="28"/>
          <w:highlight w:val="none"/>
          <w:lang w:val="en-US" w:eastAsia="zh-CN"/>
        </w:rPr>
        <w:t>°</w:t>
      </w:r>
      <w:r>
        <w:rPr>
          <w:rFonts w:hint="eastAsia" w:ascii="Times New Roman" w:hAnsi="Times New Roman" w:cs="Times New Roman"/>
          <w:color w:val="auto"/>
          <w:sz w:val="28"/>
          <w:szCs w:val="28"/>
          <w:highlight w:val="none"/>
        </w:rPr>
        <w:t>48′36.54″，</w:t>
      </w:r>
      <w:r>
        <w:rPr>
          <w:rFonts w:hint="eastAsia" w:ascii="Times New Roman" w:hAnsi="Times New Roman" w:cs="Times New Roman"/>
          <w:color w:val="auto"/>
          <w:sz w:val="28"/>
          <w:szCs w:val="28"/>
          <w:highlight w:val="none"/>
          <w:lang w:val="en-US" w:eastAsia="zh-CN"/>
        </w:rPr>
        <w:t>N</w:t>
      </w:r>
      <w:r>
        <w:rPr>
          <w:rFonts w:hint="eastAsia" w:ascii="Times New Roman" w:hAnsi="Times New Roman" w:cs="Times New Roman"/>
          <w:color w:val="auto"/>
          <w:sz w:val="28"/>
          <w:szCs w:val="28"/>
          <w:highlight w:val="none"/>
        </w:rPr>
        <w:t>28°32′51.3″、2#取水口中心地理坐标为：</w:t>
      </w:r>
      <w:r>
        <w:rPr>
          <w:rFonts w:hint="eastAsia" w:ascii="Times New Roman" w:hAnsi="Times New Roman" w:cs="Times New Roman"/>
          <w:color w:val="auto"/>
          <w:sz w:val="28"/>
          <w:szCs w:val="28"/>
          <w:highlight w:val="none"/>
          <w:lang w:val="en-US" w:eastAsia="zh-CN"/>
        </w:rPr>
        <w:t>E</w:t>
      </w:r>
      <w:r>
        <w:rPr>
          <w:rFonts w:hint="eastAsia" w:ascii="Times New Roman" w:hAnsi="Times New Roman" w:cs="Times New Roman"/>
          <w:color w:val="auto"/>
          <w:sz w:val="28"/>
          <w:szCs w:val="28"/>
          <w:highlight w:val="none"/>
        </w:rPr>
        <w:t>115°48′35.88″，</w:t>
      </w:r>
      <w:r>
        <w:rPr>
          <w:rFonts w:hint="eastAsia" w:ascii="Times New Roman" w:hAnsi="Times New Roman" w:cs="Times New Roman"/>
          <w:color w:val="auto"/>
          <w:sz w:val="28"/>
          <w:szCs w:val="28"/>
          <w:highlight w:val="none"/>
          <w:lang w:val="en-US" w:eastAsia="zh-CN"/>
        </w:rPr>
        <w:t>N</w:t>
      </w:r>
      <w:r>
        <w:rPr>
          <w:rFonts w:hint="eastAsia" w:ascii="Times New Roman" w:hAnsi="Times New Roman" w:cs="Times New Roman"/>
          <w:color w:val="auto"/>
          <w:sz w:val="28"/>
          <w:szCs w:val="28"/>
          <w:highlight w:val="none"/>
        </w:rPr>
        <w:t>28°32′42.6″、3#取水口中心地理坐标为：</w:t>
      </w:r>
      <w:r>
        <w:rPr>
          <w:rFonts w:hint="eastAsia" w:ascii="Times New Roman" w:hAnsi="Times New Roman" w:cs="Times New Roman"/>
          <w:color w:val="auto"/>
          <w:sz w:val="28"/>
          <w:szCs w:val="28"/>
          <w:highlight w:val="none"/>
          <w:lang w:val="en-US" w:eastAsia="zh-CN"/>
        </w:rPr>
        <w:t>E</w:t>
      </w:r>
      <w:r>
        <w:rPr>
          <w:rFonts w:hint="eastAsia" w:ascii="Times New Roman" w:hAnsi="Times New Roman" w:cs="Times New Roman"/>
          <w:color w:val="auto"/>
          <w:sz w:val="28"/>
          <w:szCs w:val="28"/>
          <w:highlight w:val="none"/>
        </w:rPr>
        <w:t>115°48′47.1″，</w:t>
      </w:r>
      <w:r>
        <w:rPr>
          <w:rFonts w:hint="eastAsia" w:ascii="Times New Roman" w:hAnsi="Times New Roman" w:cs="Times New Roman"/>
          <w:color w:val="auto"/>
          <w:sz w:val="28"/>
          <w:szCs w:val="28"/>
          <w:highlight w:val="none"/>
          <w:lang w:val="en-US" w:eastAsia="zh-CN"/>
        </w:rPr>
        <w:t>N</w:t>
      </w:r>
      <w:r>
        <w:rPr>
          <w:rFonts w:hint="eastAsia" w:ascii="Times New Roman" w:hAnsi="Times New Roman" w:cs="Times New Roman"/>
          <w:color w:val="auto"/>
          <w:sz w:val="28"/>
          <w:szCs w:val="28"/>
          <w:highlight w:val="none"/>
        </w:rPr>
        <w:t>28°32′1.92″</w:t>
      </w:r>
      <w:r>
        <w:rPr>
          <w:rFonts w:hint="eastAsia" w:ascii="Times New Roman" w:hAnsi="Times New Roman" w:cs="Times New Roman"/>
          <w:color w:val="auto"/>
          <w:sz w:val="28"/>
          <w:szCs w:val="28"/>
          <w:highlight w:val="none"/>
          <w:lang w:eastAsia="zh-CN"/>
        </w:rPr>
        <w:t>，</w:t>
      </w:r>
      <w:r>
        <w:rPr>
          <w:rFonts w:hint="eastAsia" w:ascii="Times New Roman" w:hAnsi="Times New Roman" w:cs="Times New Roman"/>
          <w:color w:val="auto"/>
          <w:sz w:val="28"/>
          <w:szCs w:val="28"/>
          <w:highlight w:val="none"/>
          <w:lang w:val="en-US" w:eastAsia="zh-CN"/>
        </w:rPr>
        <w:t>昌南</w:t>
      </w:r>
      <w:r>
        <w:rPr>
          <w:rFonts w:hint="eastAsia"/>
          <w:color w:val="auto"/>
          <w:sz w:val="28"/>
          <w:szCs w:val="21"/>
          <w:highlight w:val="none"/>
          <w:lang w:eastAsia="zh-CN"/>
        </w:rPr>
        <w:t>水厂饮用水源地</w:t>
      </w:r>
      <w:r>
        <w:rPr>
          <w:rFonts w:hint="eastAsia"/>
          <w:color w:val="auto"/>
          <w:sz w:val="28"/>
          <w:szCs w:val="21"/>
          <w:highlight w:val="none"/>
          <w:lang w:val="en-US" w:eastAsia="zh-CN"/>
        </w:rPr>
        <w:t>保护区在红谷滩区范围内面积</w:t>
      </w:r>
      <w:r>
        <w:rPr>
          <w:rFonts w:hint="eastAsia"/>
          <w:color w:val="auto"/>
          <w:sz w:val="28"/>
          <w:szCs w:val="28"/>
          <w:highlight w:val="none"/>
          <w:lang w:val="en-US" w:eastAsia="zh-CN"/>
        </w:rPr>
        <w:t>为4.7379</w:t>
      </w:r>
      <w:r>
        <w:rPr>
          <w:rFonts w:hint="eastAsia" w:ascii="仿宋_GB2312" w:hAnsi="仿宋_GB2312" w:eastAsia="仿宋_GB2312" w:cs="仿宋_GB2312"/>
          <w:color w:val="auto"/>
          <w:kern w:val="2"/>
          <w:sz w:val="28"/>
          <w:szCs w:val="28"/>
          <w:highlight w:val="none"/>
          <w:lang w:val="en-US" w:eastAsia="zh-CN"/>
        </w:rPr>
        <w:t>km</w:t>
      </w:r>
      <w:r>
        <w:rPr>
          <w:rFonts w:hint="eastAsia" w:ascii="仿宋_GB2312" w:hAnsi="仿宋_GB2312" w:eastAsia="仿宋_GB2312" w:cs="仿宋_GB2312"/>
          <w:color w:val="auto"/>
          <w:kern w:val="2"/>
          <w:sz w:val="28"/>
          <w:szCs w:val="28"/>
          <w:highlight w:val="none"/>
          <w:vertAlign w:val="superscript"/>
          <w:lang w:val="en-US" w:eastAsia="zh-CN"/>
        </w:rPr>
        <w:t>2</w:t>
      </w:r>
      <w:r>
        <w:rPr>
          <w:rFonts w:hint="eastAsia" w:ascii="Times New Roman" w:hAnsi="Times New Roman" w:cs="Times New Roman"/>
          <w:color w:val="auto"/>
          <w:sz w:val="28"/>
          <w:szCs w:val="28"/>
          <w:highlight w:val="none"/>
          <w:lang w:eastAsia="zh-CN"/>
        </w:rPr>
        <w:t>。</w:t>
      </w:r>
    </w:p>
    <w:p w14:paraId="7A891726">
      <w:pPr>
        <w:ind w:firstLine="560"/>
        <w:rPr>
          <w:rFonts w:hint="eastAsia"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lang w:val="en-US" w:eastAsia="zh-CN"/>
        </w:rPr>
        <w:t>昌南</w:t>
      </w:r>
      <w:r>
        <w:rPr>
          <w:rFonts w:hint="eastAsia" w:ascii="Times New Roman" w:hAnsi="Times New Roman" w:cs="Times New Roman"/>
          <w:color w:val="auto"/>
          <w:sz w:val="28"/>
          <w:szCs w:val="28"/>
          <w:highlight w:val="none"/>
        </w:rPr>
        <w:t>水厂饮用水水源保护区于2007年</w:t>
      </w:r>
      <w:r>
        <w:rPr>
          <w:rFonts w:hint="eastAsia" w:ascii="Times New Roman" w:hAnsi="Times New Roman" w:cs="Times New Roman"/>
          <w:color w:val="auto"/>
          <w:sz w:val="28"/>
          <w:szCs w:val="28"/>
          <w:highlight w:val="none"/>
          <w:lang w:val="en-US" w:eastAsia="zh-CN"/>
        </w:rPr>
        <w:t>获得江西省人民政府批复</w:t>
      </w:r>
      <w:r>
        <w:rPr>
          <w:rFonts w:hint="eastAsia" w:ascii="Times New Roman" w:hAnsi="Times New Roman" w:cs="Times New Roman"/>
          <w:color w:val="auto"/>
          <w:sz w:val="28"/>
          <w:szCs w:val="28"/>
          <w:highlight w:val="none"/>
        </w:rPr>
        <w:t>，属于</w:t>
      </w:r>
      <w:r>
        <w:rPr>
          <w:rFonts w:hint="eastAsia" w:ascii="Times New Roman" w:hAnsi="Times New Roman" w:cs="Times New Roman"/>
          <w:color w:val="auto"/>
          <w:sz w:val="28"/>
          <w:szCs w:val="28"/>
          <w:highlight w:val="none"/>
          <w:lang w:eastAsia="zh-Hans"/>
        </w:rPr>
        <w:t>河流</w:t>
      </w:r>
      <w:r>
        <w:rPr>
          <w:rFonts w:hint="eastAsia" w:ascii="Times New Roman" w:hAnsi="Times New Roman" w:cs="Times New Roman"/>
          <w:color w:val="auto"/>
          <w:sz w:val="28"/>
          <w:szCs w:val="28"/>
          <w:highlight w:val="none"/>
        </w:rPr>
        <w:t>型，</w:t>
      </w:r>
      <w:r>
        <w:rPr>
          <w:rFonts w:hint="eastAsia" w:ascii="Times New Roman" w:hAnsi="Times New Roman" w:cs="Times New Roman"/>
          <w:color w:val="auto"/>
          <w:sz w:val="28"/>
          <w:szCs w:val="28"/>
          <w:highlight w:val="none"/>
          <w:lang w:val="en-US" w:eastAsia="zh-CN"/>
        </w:rPr>
        <w:t>保护区范围</w:t>
      </w:r>
      <w:r>
        <w:rPr>
          <w:rFonts w:hint="eastAsia" w:ascii="Times New Roman" w:hAnsi="Times New Roman" w:cs="Times New Roman"/>
          <w:color w:val="auto"/>
          <w:sz w:val="28"/>
          <w:szCs w:val="28"/>
          <w:highlight w:val="none"/>
        </w:rPr>
        <w:t>见下表：</w:t>
      </w:r>
    </w:p>
    <w:p w14:paraId="7B79EAEE">
      <w:pPr>
        <w:rPr>
          <w:rFonts w:hint="eastAsia"/>
          <w:b/>
          <w:color w:val="auto"/>
          <w:sz w:val="28"/>
          <w:szCs w:val="28"/>
          <w:highlight w:val="none"/>
        </w:rPr>
      </w:pPr>
      <w:r>
        <w:rPr>
          <w:rFonts w:hint="eastAsia"/>
          <w:b/>
          <w:color w:val="auto"/>
          <w:sz w:val="28"/>
          <w:szCs w:val="28"/>
          <w:highlight w:val="none"/>
        </w:rPr>
        <w:br w:type="page"/>
      </w:r>
    </w:p>
    <w:p w14:paraId="4D12E49B">
      <w:pPr>
        <w:ind w:firstLine="0" w:firstLineChars="0"/>
        <w:jc w:val="center"/>
        <w:rPr>
          <w:color w:val="auto"/>
          <w:sz w:val="28"/>
          <w:szCs w:val="21"/>
          <w:highlight w:val="none"/>
        </w:rPr>
      </w:pPr>
      <w:r>
        <w:rPr>
          <w:rFonts w:hint="eastAsia"/>
          <w:b/>
          <w:color w:val="auto"/>
          <w:sz w:val="28"/>
          <w:szCs w:val="28"/>
          <w:highlight w:val="none"/>
        </w:rPr>
        <w:t>表</w:t>
      </w:r>
      <w:r>
        <w:rPr>
          <w:rFonts w:hint="eastAsia"/>
          <w:b/>
          <w:color w:val="auto"/>
          <w:sz w:val="28"/>
          <w:szCs w:val="28"/>
          <w:highlight w:val="none"/>
          <w:lang w:val="en-US" w:eastAsia="zh-CN"/>
        </w:rPr>
        <w:t>5</w:t>
      </w:r>
      <w:r>
        <w:rPr>
          <w:rFonts w:hint="eastAsia"/>
          <w:b/>
          <w:color w:val="auto"/>
          <w:sz w:val="28"/>
          <w:szCs w:val="28"/>
          <w:highlight w:val="none"/>
        </w:rPr>
        <w:t>.1</w:t>
      </w:r>
      <w:r>
        <w:rPr>
          <w:rFonts w:hint="eastAsia"/>
          <w:b/>
          <w:color w:val="auto"/>
          <w:sz w:val="28"/>
          <w:szCs w:val="28"/>
          <w:highlight w:val="none"/>
          <w:lang w:val="en-US" w:eastAsia="zh-CN"/>
        </w:rPr>
        <w:t>-4</w:t>
      </w:r>
      <w:r>
        <w:rPr>
          <w:rFonts w:hint="eastAsia"/>
          <w:b/>
          <w:color w:val="auto"/>
          <w:sz w:val="28"/>
          <w:szCs w:val="28"/>
          <w:highlight w:val="none"/>
        </w:rPr>
        <w:t xml:space="preserve">  饮用水源地保护区划定范围表</w:t>
      </w:r>
    </w:p>
    <w:tbl>
      <w:tblPr>
        <w:tblStyle w:val="7"/>
        <w:tblW w:w="4998" w:type="pct"/>
        <w:jc w:val="center"/>
        <w:tblLayout w:type="autofit"/>
        <w:tblCellMar>
          <w:top w:w="0" w:type="dxa"/>
          <w:left w:w="57" w:type="dxa"/>
          <w:bottom w:w="0" w:type="dxa"/>
          <w:right w:w="57" w:type="dxa"/>
        </w:tblCellMar>
      </w:tblPr>
      <w:tblGrid>
        <w:gridCol w:w="586"/>
        <w:gridCol w:w="546"/>
        <w:gridCol w:w="1711"/>
        <w:gridCol w:w="1393"/>
        <w:gridCol w:w="1394"/>
        <w:gridCol w:w="1393"/>
        <w:gridCol w:w="1394"/>
      </w:tblGrid>
      <w:tr w14:paraId="0DFCC365">
        <w:tblPrEx>
          <w:tblCellMar>
            <w:top w:w="0" w:type="dxa"/>
            <w:left w:w="57" w:type="dxa"/>
            <w:bottom w:w="0" w:type="dxa"/>
            <w:right w:w="57" w:type="dxa"/>
          </w:tblCellMar>
        </w:tblPrEx>
        <w:trPr>
          <w:trHeight w:val="425" w:hRule="atLeast"/>
          <w:tblHeader/>
          <w:jc w:val="center"/>
        </w:trPr>
        <w:tc>
          <w:tcPr>
            <w:tcW w:w="348" w:type="pct"/>
            <w:vMerge w:val="restart"/>
            <w:tcBorders>
              <w:top w:val="single" w:color="auto" w:sz="4" w:space="0"/>
              <w:left w:val="single" w:color="auto" w:sz="4" w:space="0"/>
            </w:tcBorders>
            <w:shd w:val="clear" w:color="auto" w:fill="auto"/>
            <w:vAlign w:val="center"/>
          </w:tcPr>
          <w:p w14:paraId="500FF0F6">
            <w:pPr>
              <w:pStyle w:val="10"/>
              <w:jc w:val="center"/>
              <w:rPr>
                <w:rFonts w:ascii="仿宋_GB2312" w:hAnsi="仿宋_GB2312" w:eastAsia="仿宋_GB2312" w:cs="仿宋_GB2312"/>
                <w:b/>
                <w:bCs/>
                <w:color w:val="auto"/>
                <w:kern w:val="2"/>
                <w:sz w:val="21"/>
                <w:szCs w:val="21"/>
                <w:highlight w:val="none"/>
              </w:rPr>
            </w:pPr>
            <w:r>
              <w:rPr>
                <w:rFonts w:hint="eastAsia" w:ascii="仿宋_GB2312" w:hAnsi="仿宋_GB2312" w:eastAsia="仿宋_GB2312" w:cs="仿宋_GB2312"/>
                <w:b/>
                <w:bCs/>
                <w:color w:val="auto"/>
                <w:kern w:val="2"/>
                <w:sz w:val="21"/>
                <w:szCs w:val="21"/>
                <w:highlight w:val="none"/>
              </w:rPr>
              <w:t>水源名称</w:t>
            </w:r>
          </w:p>
        </w:tc>
        <w:tc>
          <w:tcPr>
            <w:tcW w:w="324" w:type="pct"/>
            <w:vMerge w:val="restart"/>
            <w:tcBorders>
              <w:top w:val="single" w:color="auto" w:sz="4" w:space="0"/>
              <w:left w:val="single" w:color="auto" w:sz="4" w:space="0"/>
            </w:tcBorders>
            <w:shd w:val="clear" w:color="auto" w:fill="auto"/>
            <w:vAlign w:val="center"/>
          </w:tcPr>
          <w:p w14:paraId="2754CC67">
            <w:pPr>
              <w:pStyle w:val="10"/>
              <w:jc w:val="center"/>
              <w:rPr>
                <w:rFonts w:ascii="仿宋_GB2312" w:hAnsi="仿宋_GB2312" w:eastAsia="仿宋_GB2312" w:cs="仿宋_GB2312"/>
                <w:b/>
                <w:bCs/>
                <w:color w:val="auto"/>
                <w:kern w:val="2"/>
                <w:sz w:val="21"/>
                <w:szCs w:val="21"/>
                <w:highlight w:val="none"/>
              </w:rPr>
            </w:pPr>
            <w:r>
              <w:rPr>
                <w:rFonts w:hint="eastAsia" w:ascii="仿宋_GB2312" w:hAnsi="仿宋_GB2312" w:eastAsia="仿宋_GB2312" w:cs="仿宋_GB2312"/>
                <w:b/>
                <w:bCs/>
                <w:color w:val="auto"/>
                <w:kern w:val="2"/>
                <w:sz w:val="21"/>
                <w:szCs w:val="21"/>
                <w:highlight w:val="none"/>
              </w:rPr>
              <w:t>水源类型</w:t>
            </w:r>
          </w:p>
        </w:tc>
        <w:tc>
          <w:tcPr>
            <w:tcW w:w="1016" w:type="pct"/>
            <w:vMerge w:val="restart"/>
            <w:tcBorders>
              <w:top w:val="single" w:color="auto" w:sz="4" w:space="0"/>
              <w:left w:val="single" w:color="auto" w:sz="4" w:space="0"/>
            </w:tcBorders>
            <w:shd w:val="clear" w:color="auto" w:fill="auto"/>
            <w:vAlign w:val="center"/>
          </w:tcPr>
          <w:p w14:paraId="1705D994">
            <w:pPr>
              <w:pStyle w:val="10"/>
              <w:jc w:val="center"/>
              <w:rPr>
                <w:rFonts w:ascii="仿宋_GB2312" w:hAnsi="仿宋_GB2312" w:eastAsia="仿宋_GB2312" w:cs="仿宋_GB2312"/>
                <w:b/>
                <w:bCs/>
                <w:color w:val="auto"/>
                <w:kern w:val="2"/>
                <w:sz w:val="21"/>
                <w:szCs w:val="21"/>
                <w:highlight w:val="none"/>
              </w:rPr>
            </w:pPr>
            <w:r>
              <w:rPr>
                <w:rFonts w:hint="eastAsia" w:ascii="仿宋_GB2312" w:hAnsi="仿宋_GB2312" w:eastAsia="仿宋_GB2312" w:cs="仿宋_GB2312"/>
                <w:b/>
                <w:bCs/>
                <w:color w:val="auto"/>
                <w:kern w:val="2"/>
                <w:sz w:val="21"/>
                <w:szCs w:val="21"/>
                <w:highlight w:val="none"/>
              </w:rPr>
              <w:t>取水口经纬度</w:t>
            </w:r>
          </w:p>
        </w:tc>
        <w:tc>
          <w:tcPr>
            <w:tcW w:w="1655" w:type="pct"/>
            <w:gridSpan w:val="2"/>
            <w:tcBorders>
              <w:top w:val="single" w:color="auto" w:sz="4" w:space="0"/>
              <w:left w:val="single" w:color="auto" w:sz="4" w:space="0"/>
            </w:tcBorders>
            <w:shd w:val="clear" w:color="auto" w:fill="auto"/>
            <w:vAlign w:val="center"/>
          </w:tcPr>
          <w:p w14:paraId="2AF630A6">
            <w:pPr>
              <w:pStyle w:val="10"/>
              <w:jc w:val="center"/>
              <w:rPr>
                <w:rFonts w:ascii="仿宋_GB2312" w:hAnsi="仿宋_GB2312" w:eastAsia="仿宋_GB2312" w:cs="仿宋_GB2312"/>
                <w:b/>
                <w:bCs/>
                <w:color w:val="auto"/>
                <w:kern w:val="2"/>
                <w:sz w:val="21"/>
                <w:szCs w:val="21"/>
                <w:highlight w:val="none"/>
              </w:rPr>
            </w:pPr>
            <w:r>
              <w:rPr>
                <w:rFonts w:hint="eastAsia" w:ascii="仿宋_GB2312" w:hAnsi="仿宋_GB2312" w:eastAsia="仿宋_GB2312" w:cs="仿宋_GB2312"/>
                <w:b/>
                <w:bCs/>
                <w:color w:val="auto"/>
                <w:kern w:val="2"/>
                <w:sz w:val="21"/>
                <w:szCs w:val="21"/>
                <w:highlight w:val="none"/>
              </w:rPr>
              <w:t>一级保护区</w:t>
            </w:r>
          </w:p>
        </w:tc>
        <w:tc>
          <w:tcPr>
            <w:tcW w:w="1655" w:type="pct"/>
            <w:gridSpan w:val="2"/>
            <w:tcBorders>
              <w:top w:val="single" w:color="auto" w:sz="4" w:space="0"/>
              <w:left w:val="single" w:color="auto" w:sz="4" w:space="0"/>
              <w:right w:val="single" w:color="auto" w:sz="4" w:space="0"/>
            </w:tcBorders>
            <w:shd w:val="clear" w:color="auto" w:fill="auto"/>
            <w:vAlign w:val="center"/>
          </w:tcPr>
          <w:p w14:paraId="2B19CDD5">
            <w:pPr>
              <w:pStyle w:val="10"/>
              <w:jc w:val="center"/>
              <w:rPr>
                <w:rFonts w:ascii="仿宋_GB2312" w:hAnsi="仿宋_GB2312" w:eastAsia="仿宋_GB2312" w:cs="仿宋_GB2312"/>
                <w:b/>
                <w:bCs/>
                <w:color w:val="auto"/>
                <w:kern w:val="2"/>
                <w:sz w:val="21"/>
                <w:szCs w:val="21"/>
                <w:highlight w:val="none"/>
              </w:rPr>
            </w:pPr>
            <w:r>
              <w:rPr>
                <w:rFonts w:hint="eastAsia" w:ascii="仿宋_GB2312" w:hAnsi="仿宋_GB2312" w:eastAsia="仿宋_GB2312" w:cs="仿宋_GB2312"/>
                <w:b/>
                <w:bCs/>
                <w:color w:val="auto"/>
                <w:kern w:val="2"/>
                <w:sz w:val="21"/>
                <w:szCs w:val="21"/>
                <w:highlight w:val="none"/>
              </w:rPr>
              <w:t>二级保护区</w:t>
            </w:r>
          </w:p>
        </w:tc>
      </w:tr>
      <w:tr w14:paraId="7B118E1B">
        <w:tblPrEx>
          <w:tblCellMar>
            <w:top w:w="0" w:type="dxa"/>
            <w:left w:w="57" w:type="dxa"/>
            <w:bottom w:w="0" w:type="dxa"/>
            <w:right w:w="57" w:type="dxa"/>
          </w:tblCellMar>
        </w:tblPrEx>
        <w:trPr>
          <w:trHeight w:val="425" w:hRule="atLeast"/>
          <w:tblHeader/>
          <w:jc w:val="center"/>
        </w:trPr>
        <w:tc>
          <w:tcPr>
            <w:tcW w:w="348" w:type="pct"/>
            <w:vMerge w:val="continue"/>
            <w:tcBorders>
              <w:left w:val="single" w:color="auto" w:sz="4" w:space="0"/>
            </w:tcBorders>
            <w:shd w:val="clear" w:color="auto" w:fill="auto"/>
            <w:vAlign w:val="center"/>
          </w:tcPr>
          <w:p w14:paraId="578C7C4E">
            <w:pPr>
              <w:pStyle w:val="10"/>
              <w:jc w:val="center"/>
              <w:rPr>
                <w:rFonts w:ascii="仿宋_GB2312" w:hAnsi="仿宋_GB2312" w:eastAsia="仿宋_GB2312" w:cs="仿宋_GB2312"/>
                <w:b/>
                <w:bCs/>
                <w:color w:val="auto"/>
                <w:kern w:val="2"/>
                <w:sz w:val="21"/>
                <w:szCs w:val="21"/>
                <w:highlight w:val="none"/>
              </w:rPr>
            </w:pPr>
          </w:p>
        </w:tc>
        <w:tc>
          <w:tcPr>
            <w:tcW w:w="324" w:type="pct"/>
            <w:vMerge w:val="continue"/>
            <w:tcBorders>
              <w:left w:val="single" w:color="auto" w:sz="4" w:space="0"/>
            </w:tcBorders>
            <w:shd w:val="clear" w:color="auto" w:fill="auto"/>
            <w:textDirection w:val="tbRlV"/>
            <w:vAlign w:val="center"/>
          </w:tcPr>
          <w:p w14:paraId="7EC637BD">
            <w:pPr>
              <w:pStyle w:val="10"/>
              <w:jc w:val="center"/>
              <w:rPr>
                <w:rFonts w:ascii="仿宋_GB2312" w:hAnsi="仿宋_GB2312" w:eastAsia="仿宋_GB2312" w:cs="仿宋_GB2312"/>
                <w:b/>
                <w:bCs/>
                <w:color w:val="auto"/>
                <w:kern w:val="2"/>
                <w:sz w:val="21"/>
                <w:szCs w:val="21"/>
                <w:highlight w:val="none"/>
              </w:rPr>
            </w:pPr>
          </w:p>
        </w:tc>
        <w:tc>
          <w:tcPr>
            <w:tcW w:w="1016" w:type="pct"/>
            <w:vMerge w:val="continue"/>
            <w:tcBorders>
              <w:left w:val="single" w:color="auto" w:sz="4" w:space="0"/>
            </w:tcBorders>
            <w:shd w:val="clear" w:color="auto" w:fill="auto"/>
            <w:vAlign w:val="center"/>
          </w:tcPr>
          <w:p w14:paraId="466DD333">
            <w:pPr>
              <w:pStyle w:val="10"/>
              <w:jc w:val="center"/>
              <w:rPr>
                <w:rFonts w:ascii="仿宋_GB2312" w:hAnsi="仿宋_GB2312" w:eastAsia="仿宋_GB2312" w:cs="仿宋_GB2312"/>
                <w:b/>
                <w:bCs/>
                <w:color w:val="auto"/>
                <w:kern w:val="2"/>
                <w:sz w:val="21"/>
                <w:szCs w:val="21"/>
                <w:highlight w:val="none"/>
              </w:rPr>
            </w:pPr>
          </w:p>
        </w:tc>
        <w:tc>
          <w:tcPr>
            <w:tcW w:w="827" w:type="pct"/>
            <w:tcBorders>
              <w:top w:val="single" w:color="auto" w:sz="4" w:space="0"/>
              <w:left w:val="single" w:color="auto" w:sz="4" w:space="0"/>
            </w:tcBorders>
            <w:shd w:val="clear" w:color="auto" w:fill="auto"/>
            <w:vAlign w:val="center"/>
          </w:tcPr>
          <w:p w14:paraId="099A8531">
            <w:pPr>
              <w:pStyle w:val="10"/>
              <w:jc w:val="center"/>
              <w:rPr>
                <w:rFonts w:ascii="仿宋_GB2312" w:hAnsi="仿宋_GB2312" w:eastAsia="仿宋_GB2312" w:cs="仿宋_GB2312"/>
                <w:b/>
                <w:bCs/>
                <w:color w:val="auto"/>
                <w:kern w:val="2"/>
                <w:sz w:val="21"/>
                <w:szCs w:val="21"/>
                <w:highlight w:val="none"/>
              </w:rPr>
            </w:pPr>
            <w:r>
              <w:rPr>
                <w:rFonts w:hint="eastAsia" w:ascii="仿宋_GB2312" w:hAnsi="仿宋_GB2312" w:eastAsia="仿宋_GB2312" w:cs="仿宋_GB2312"/>
                <w:b/>
                <w:bCs/>
                <w:color w:val="auto"/>
                <w:kern w:val="2"/>
                <w:sz w:val="21"/>
                <w:szCs w:val="21"/>
                <w:highlight w:val="none"/>
              </w:rPr>
              <w:t>水域</w:t>
            </w:r>
          </w:p>
        </w:tc>
        <w:tc>
          <w:tcPr>
            <w:tcW w:w="827" w:type="pct"/>
            <w:tcBorders>
              <w:top w:val="single" w:color="auto" w:sz="4" w:space="0"/>
              <w:left w:val="single" w:color="auto" w:sz="4" w:space="0"/>
            </w:tcBorders>
            <w:shd w:val="clear" w:color="auto" w:fill="auto"/>
            <w:vAlign w:val="center"/>
          </w:tcPr>
          <w:p w14:paraId="0AB43886">
            <w:pPr>
              <w:pStyle w:val="10"/>
              <w:jc w:val="center"/>
              <w:rPr>
                <w:rFonts w:ascii="仿宋_GB2312" w:hAnsi="仿宋_GB2312" w:eastAsia="仿宋_GB2312" w:cs="仿宋_GB2312"/>
                <w:b/>
                <w:bCs/>
                <w:color w:val="auto"/>
                <w:kern w:val="2"/>
                <w:sz w:val="21"/>
                <w:szCs w:val="21"/>
                <w:highlight w:val="none"/>
              </w:rPr>
            </w:pPr>
            <w:r>
              <w:rPr>
                <w:rFonts w:hint="eastAsia" w:ascii="仿宋_GB2312" w:hAnsi="仿宋_GB2312" w:eastAsia="仿宋_GB2312" w:cs="仿宋_GB2312"/>
                <w:b/>
                <w:bCs/>
                <w:color w:val="auto"/>
                <w:kern w:val="2"/>
                <w:sz w:val="21"/>
                <w:szCs w:val="21"/>
                <w:highlight w:val="none"/>
              </w:rPr>
              <w:t>陆域</w:t>
            </w:r>
          </w:p>
        </w:tc>
        <w:tc>
          <w:tcPr>
            <w:tcW w:w="827" w:type="pct"/>
            <w:tcBorders>
              <w:top w:val="single" w:color="auto" w:sz="4" w:space="0"/>
              <w:left w:val="single" w:color="auto" w:sz="4" w:space="0"/>
            </w:tcBorders>
            <w:shd w:val="clear" w:color="auto" w:fill="auto"/>
            <w:vAlign w:val="center"/>
          </w:tcPr>
          <w:p w14:paraId="119BDA23">
            <w:pPr>
              <w:pStyle w:val="10"/>
              <w:jc w:val="center"/>
              <w:rPr>
                <w:rFonts w:ascii="仿宋_GB2312" w:hAnsi="仿宋_GB2312" w:eastAsia="仿宋_GB2312" w:cs="仿宋_GB2312"/>
                <w:b/>
                <w:bCs/>
                <w:color w:val="auto"/>
                <w:kern w:val="2"/>
                <w:sz w:val="21"/>
                <w:szCs w:val="21"/>
                <w:highlight w:val="none"/>
              </w:rPr>
            </w:pPr>
            <w:r>
              <w:rPr>
                <w:rFonts w:hint="eastAsia" w:ascii="仿宋_GB2312" w:hAnsi="仿宋_GB2312" w:eastAsia="仿宋_GB2312" w:cs="仿宋_GB2312"/>
                <w:b/>
                <w:bCs/>
                <w:color w:val="auto"/>
                <w:kern w:val="2"/>
                <w:sz w:val="21"/>
                <w:szCs w:val="21"/>
                <w:highlight w:val="none"/>
              </w:rPr>
              <w:t>水域</w:t>
            </w:r>
          </w:p>
        </w:tc>
        <w:tc>
          <w:tcPr>
            <w:tcW w:w="828" w:type="pct"/>
            <w:tcBorders>
              <w:top w:val="single" w:color="auto" w:sz="4" w:space="0"/>
              <w:left w:val="single" w:color="auto" w:sz="4" w:space="0"/>
              <w:right w:val="single" w:color="auto" w:sz="4" w:space="0"/>
            </w:tcBorders>
            <w:shd w:val="clear" w:color="auto" w:fill="auto"/>
            <w:vAlign w:val="center"/>
          </w:tcPr>
          <w:p w14:paraId="1370EFC6">
            <w:pPr>
              <w:pStyle w:val="10"/>
              <w:jc w:val="center"/>
              <w:rPr>
                <w:rFonts w:ascii="仿宋_GB2312" w:hAnsi="仿宋_GB2312" w:eastAsia="仿宋_GB2312" w:cs="仿宋_GB2312"/>
                <w:b/>
                <w:bCs/>
                <w:color w:val="auto"/>
                <w:kern w:val="2"/>
                <w:sz w:val="21"/>
                <w:szCs w:val="21"/>
                <w:highlight w:val="none"/>
              </w:rPr>
            </w:pPr>
            <w:r>
              <w:rPr>
                <w:rFonts w:hint="eastAsia" w:ascii="仿宋_GB2312" w:hAnsi="仿宋_GB2312" w:eastAsia="仿宋_GB2312" w:cs="仿宋_GB2312"/>
                <w:b/>
                <w:bCs/>
                <w:color w:val="auto"/>
                <w:kern w:val="2"/>
                <w:sz w:val="21"/>
                <w:szCs w:val="21"/>
                <w:highlight w:val="none"/>
              </w:rPr>
              <w:t>陆域</w:t>
            </w:r>
          </w:p>
        </w:tc>
      </w:tr>
      <w:tr w14:paraId="3F1AC2F7">
        <w:tblPrEx>
          <w:tblCellMar>
            <w:top w:w="0" w:type="dxa"/>
            <w:left w:w="57" w:type="dxa"/>
            <w:bottom w:w="0" w:type="dxa"/>
            <w:right w:w="57" w:type="dxa"/>
          </w:tblCellMar>
        </w:tblPrEx>
        <w:trPr>
          <w:trHeight w:val="425" w:hRule="atLeast"/>
          <w:jc w:val="center"/>
        </w:trPr>
        <w:tc>
          <w:tcPr>
            <w:tcW w:w="348" w:type="pct"/>
            <w:tcBorders>
              <w:top w:val="single" w:color="auto" w:sz="4" w:space="0"/>
              <w:left w:val="single" w:color="auto" w:sz="4" w:space="0"/>
              <w:bottom w:val="single" w:color="auto" w:sz="4" w:space="0"/>
            </w:tcBorders>
            <w:shd w:val="clear" w:color="auto" w:fill="auto"/>
            <w:vAlign w:val="center"/>
          </w:tcPr>
          <w:p w14:paraId="17314362">
            <w:pPr>
              <w:pStyle w:val="10"/>
              <w:jc w:val="center"/>
              <w:rPr>
                <w:rFonts w:hint="eastAsia"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lang w:val="en-US" w:eastAsia="zh-CN"/>
              </w:rPr>
              <w:t>昌南</w:t>
            </w:r>
            <w:r>
              <w:rPr>
                <w:rFonts w:hint="eastAsia" w:ascii="仿宋_GB2312" w:hAnsi="仿宋_GB2312" w:eastAsia="仿宋_GB2312" w:cs="仿宋_GB2312"/>
                <w:color w:val="auto"/>
                <w:kern w:val="2"/>
                <w:sz w:val="21"/>
                <w:szCs w:val="21"/>
                <w:highlight w:val="none"/>
              </w:rPr>
              <w:t>水厂饮用水源地</w:t>
            </w:r>
          </w:p>
        </w:tc>
        <w:tc>
          <w:tcPr>
            <w:tcW w:w="324" w:type="pct"/>
            <w:tcBorders>
              <w:top w:val="single" w:color="auto" w:sz="4" w:space="0"/>
              <w:left w:val="single" w:color="auto" w:sz="4" w:space="0"/>
              <w:bottom w:val="single" w:color="auto" w:sz="4" w:space="0"/>
            </w:tcBorders>
            <w:shd w:val="clear" w:color="auto" w:fill="auto"/>
            <w:vAlign w:val="center"/>
          </w:tcPr>
          <w:p w14:paraId="41C46140">
            <w:pPr>
              <w:pStyle w:val="10"/>
              <w:jc w:val="center"/>
              <w:rPr>
                <w:rFonts w:hint="eastAsia"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河流型</w:t>
            </w:r>
          </w:p>
        </w:tc>
        <w:tc>
          <w:tcPr>
            <w:tcW w:w="1016" w:type="pct"/>
            <w:tcBorders>
              <w:top w:val="single" w:color="auto" w:sz="4" w:space="0"/>
              <w:left w:val="single" w:color="auto" w:sz="4" w:space="0"/>
              <w:bottom w:val="single" w:color="auto" w:sz="4" w:space="0"/>
            </w:tcBorders>
            <w:shd w:val="clear" w:color="auto" w:fill="auto"/>
            <w:vAlign w:val="center"/>
          </w:tcPr>
          <w:p w14:paraId="541E4364">
            <w:pPr>
              <w:keepNext w:val="0"/>
              <w:keepLines w:val="0"/>
              <w:pageBreakBefore w:val="0"/>
              <w:widowControl/>
              <w:kinsoku/>
              <w:wordWrap w:val="0"/>
              <w:overflowPunct/>
              <w:topLinePunct w:val="0"/>
              <w:autoSpaceDE/>
              <w:autoSpaceDN/>
              <w:bidi w:val="0"/>
              <w:adjustRightInd/>
              <w:snapToGrid/>
              <w:spacing w:line="240" w:lineRule="auto"/>
              <w:ind w:firstLine="0" w:firstLineChars="0"/>
              <w:textAlignment w:val="auto"/>
              <w:rPr>
                <w:rFonts w:hint="eastAsia" w:ascii="仿宋_GB2312" w:hAnsi="仿宋_GB2312" w:eastAsia="仿宋_GB2312" w:cs="仿宋_GB2312"/>
                <w:color w:val="auto"/>
                <w:kern w:val="2"/>
                <w:sz w:val="21"/>
                <w:szCs w:val="21"/>
                <w:highlight w:val="none"/>
                <w:lang w:eastAsia="zh-CN"/>
              </w:rPr>
            </w:pPr>
            <w:r>
              <w:rPr>
                <w:rFonts w:hint="eastAsia" w:ascii="仿宋_GB2312" w:hAnsi="仿宋_GB2312" w:eastAsia="仿宋_GB2312" w:cs="仿宋_GB2312"/>
                <w:color w:val="auto"/>
                <w:kern w:val="2"/>
                <w:sz w:val="21"/>
                <w:szCs w:val="21"/>
                <w:highlight w:val="none"/>
              </w:rPr>
              <w:t>1#</w:t>
            </w:r>
            <w:r>
              <w:rPr>
                <w:rFonts w:hint="eastAsia" w:cs="仿宋_GB2312"/>
                <w:color w:val="auto"/>
                <w:kern w:val="2"/>
                <w:sz w:val="21"/>
                <w:szCs w:val="21"/>
                <w:highlight w:val="none"/>
                <w:lang w:eastAsia="zh-CN"/>
              </w:rPr>
              <w:t>：</w:t>
            </w:r>
            <w:r>
              <w:rPr>
                <w:rFonts w:hint="eastAsia" w:ascii="仿宋_GB2312" w:hAnsi="仿宋_GB2312" w:eastAsia="仿宋_GB2312" w:cs="仿宋_GB2312"/>
                <w:color w:val="auto"/>
                <w:kern w:val="2"/>
                <w:sz w:val="21"/>
                <w:szCs w:val="21"/>
                <w:highlight w:val="none"/>
              </w:rPr>
              <w:t>E115°48′36.54″</w:t>
            </w:r>
            <w:r>
              <w:rPr>
                <w:rFonts w:hint="eastAsia" w:cs="仿宋_GB2312"/>
                <w:color w:val="auto"/>
                <w:kern w:val="2"/>
                <w:sz w:val="21"/>
                <w:szCs w:val="21"/>
                <w:highlight w:val="none"/>
                <w:lang w:eastAsia="zh-CN"/>
              </w:rPr>
              <w:t>，</w:t>
            </w:r>
          </w:p>
          <w:p w14:paraId="60638328">
            <w:pPr>
              <w:keepNext w:val="0"/>
              <w:keepLines w:val="0"/>
              <w:pageBreakBefore w:val="0"/>
              <w:widowControl/>
              <w:kinsoku/>
              <w:wordWrap w:val="0"/>
              <w:overflowPunct/>
              <w:topLinePunct w:val="0"/>
              <w:autoSpaceDE/>
              <w:autoSpaceDN/>
              <w:bidi w:val="0"/>
              <w:adjustRightInd/>
              <w:snapToGrid/>
              <w:spacing w:line="240" w:lineRule="auto"/>
              <w:ind w:firstLine="0" w:firstLineChars="0"/>
              <w:textAlignment w:val="auto"/>
              <w:rPr>
                <w:rFonts w:hint="eastAsia" w:ascii="仿宋_GB2312" w:hAnsi="仿宋_GB2312" w:eastAsia="仿宋_GB2312" w:cs="仿宋_GB2312"/>
                <w:color w:val="auto"/>
                <w:kern w:val="2"/>
                <w:sz w:val="21"/>
                <w:szCs w:val="21"/>
                <w:highlight w:val="none"/>
                <w:lang w:eastAsia="zh-CN"/>
              </w:rPr>
            </w:pPr>
            <w:r>
              <w:rPr>
                <w:rFonts w:hint="eastAsia" w:ascii="仿宋_GB2312" w:hAnsi="仿宋_GB2312" w:eastAsia="仿宋_GB2312" w:cs="仿宋_GB2312"/>
                <w:color w:val="auto"/>
                <w:kern w:val="2"/>
                <w:sz w:val="21"/>
                <w:szCs w:val="21"/>
                <w:highlight w:val="none"/>
              </w:rPr>
              <w:t>N28°32′51.3″</w:t>
            </w:r>
          </w:p>
          <w:p w14:paraId="6CD72F5A">
            <w:pPr>
              <w:keepNext w:val="0"/>
              <w:keepLines w:val="0"/>
              <w:pageBreakBefore w:val="0"/>
              <w:widowControl/>
              <w:kinsoku/>
              <w:wordWrap w:val="0"/>
              <w:overflowPunct/>
              <w:topLinePunct w:val="0"/>
              <w:autoSpaceDE/>
              <w:autoSpaceDN/>
              <w:bidi w:val="0"/>
              <w:adjustRightInd/>
              <w:snapToGrid/>
              <w:spacing w:line="240" w:lineRule="auto"/>
              <w:ind w:firstLine="0" w:firstLineChars="0"/>
              <w:textAlignment w:val="auto"/>
              <w:rPr>
                <w:rFonts w:hint="eastAsia" w:ascii="仿宋_GB2312" w:hAnsi="仿宋_GB2312" w:eastAsia="仿宋_GB2312" w:cs="仿宋_GB2312"/>
                <w:color w:val="auto"/>
                <w:kern w:val="2"/>
                <w:sz w:val="21"/>
                <w:szCs w:val="21"/>
                <w:highlight w:val="none"/>
                <w:lang w:eastAsia="zh-CN"/>
              </w:rPr>
            </w:pPr>
            <w:r>
              <w:rPr>
                <w:rFonts w:hint="eastAsia" w:ascii="仿宋_GB2312" w:hAnsi="仿宋_GB2312" w:eastAsia="仿宋_GB2312" w:cs="仿宋_GB2312"/>
                <w:color w:val="auto"/>
                <w:kern w:val="2"/>
                <w:sz w:val="21"/>
                <w:szCs w:val="21"/>
                <w:highlight w:val="none"/>
              </w:rPr>
              <w:t>2#</w:t>
            </w:r>
            <w:r>
              <w:rPr>
                <w:rFonts w:hint="eastAsia" w:cs="仿宋_GB2312"/>
                <w:color w:val="auto"/>
                <w:kern w:val="2"/>
                <w:sz w:val="21"/>
                <w:szCs w:val="21"/>
                <w:highlight w:val="none"/>
                <w:lang w:eastAsia="zh-CN"/>
              </w:rPr>
              <w:t>：</w:t>
            </w:r>
            <w:r>
              <w:rPr>
                <w:rFonts w:hint="eastAsia" w:ascii="仿宋_GB2312" w:hAnsi="仿宋_GB2312" w:eastAsia="仿宋_GB2312" w:cs="仿宋_GB2312"/>
                <w:color w:val="auto"/>
                <w:kern w:val="2"/>
                <w:sz w:val="21"/>
                <w:szCs w:val="21"/>
                <w:highlight w:val="none"/>
              </w:rPr>
              <w:t>E115°48′36.88″</w:t>
            </w:r>
            <w:r>
              <w:rPr>
                <w:rFonts w:hint="eastAsia" w:cs="仿宋_GB2312"/>
                <w:color w:val="auto"/>
                <w:kern w:val="2"/>
                <w:sz w:val="21"/>
                <w:szCs w:val="21"/>
                <w:highlight w:val="none"/>
                <w:lang w:eastAsia="zh-CN"/>
              </w:rPr>
              <w:t>，</w:t>
            </w:r>
          </w:p>
          <w:p w14:paraId="44B32DA3">
            <w:pPr>
              <w:keepNext w:val="0"/>
              <w:keepLines w:val="0"/>
              <w:pageBreakBefore w:val="0"/>
              <w:widowControl/>
              <w:kinsoku/>
              <w:wordWrap w:val="0"/>
              <w:overflowPunct/>
              <w:topLinePunct w:val="0"/>
              <w:autoSpaceDE/>
              <w:autoSpaceDN/>
              <w:bidi w:val="0"/>
              <w:adjustRightInd/>
              <w:snapToGrid/>
              <w:spacing w:line="240" w:lineRule="auto"/>
              <w:ind w:firstLine="0" w:firstLineChars="0"/>
              <w:textAlignment w:val="auto"/>
              <w:rPr>
                <w:rFonts w:hint="eastAsia"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N28°32′42.6″</w:t>
            </w:r>
          </w:p>
          <w:p w14:paraId="12B89A30">
            <w:pPr>
              <w:keepNext w:val="0"/>
              <w:keepLines w:val="0"/>
              <w:pageBreakBefore w:val="0"/>
              <w:widowControl/>
              <w:kinsoku/>
              <w:wordWrap w:val="0"/>
              <w:overflowPunct/>
              <w:topLinePunct w:val="0"/>
              <w:autoSpaceDE/>
              <w:autoSpaceDN/>
              <w:bidi w:val="0"/>
              <w:adjustRightInd/>
              <w:snapToGrid/>
              <w:spacing w:line="240" w:lineRule="auto"/>
              <w:ind w:firstLine="0" w:firstLineChars="0"/>
              <w:textAlignment w:val="auto"/>
              <w:rPr>
                <w:rFonts w:hint="eastAsia" w:ascii="仿宋_GB2312" w:hAnsi="仿宋_GB2312" w:eastAsia="仿宋_GB2312" w:cs="仿宋_GB2312"/>
                <w:color w:val="auto"/>
                <w:kern w:val="2"/>
                <w:sz w:val="21"/>
                <w:szCs w:val="21"/>
                <w:highlight w:val="none"/>
                <w:lang w:eastAsia="zh-CN"/>
              </w:rPr>
            </w:pPr>
            <w:r>
              <w:rPr>
                <w:rFonts w:hint="eastAsia" w:ascii="仿宋_GB2312" w:hAnsi="仿宋_GB2312" w:eastAsia="仿宋_GB2312" w:cs="仿宋_GB2312"/>
                <w:color w:val="auto"/>
                <w:kern w:val="2"/>
                <w:sz w:val="21"/>
                <w:szCs w:val="21"/>
                <w:highlight w:val="none"/>
              </w:rPr>
              <w:t>3#</w:t>
            </w:r>
            <w:r>
              <w:rPr>
                <w:rFonts w:hint="eastAsia" w:cs="仿宋_GB2312"/>
                <w:color w:val="auto"/>
                <w:kern w:val="2"/>
                <w:sz w:val="21"/>
                <w:szCs w:val="21"/>
                <w:highlight w:val="none"/>
                <w:lang w:eastAsia="zh-CN"/>
              </w:rPr>
              <w:t>：</w:t>
            </w:r>
            <w:r>
              <w:rPr>
                <w:rFonts w:hint="eastAsia" w:ascii="仿宋_GB2312" w:hAnsi="仿宋_GB2312" w:eastAsia="仿宋_GB2312" w:cs="仿宋_GB2312"/>
                <w:color w:val="auto"/>
                <w:kern w:val="2"/>
                <w:sz w:val="21"/>
                <w:szCs w:val="21"/>
                <w:highlight w:val="none"/>
              </w:rPr>
              <w:t>E115°48′47.1″</w:t>
            </w:r>
            <w:r>
              <w:rPr>
                <w:rFonts w:hint="eastAsia" w:cs="仿宋_GB2312"/>
                <w:color w:val="auto"/>
                <w:kern w:val="2"/>
                <w:sz w:val="21"/>
                <w:szCs w:val="21"/>
                <w:highlight w:val="none"/>
                <w:lang w:eastAsia="zh-CN"/>
              </w:rPr>
              <w:t>，</w:t>
            </w:r>
          </w:p>
          <w:p w14:paraId="1CBE0B00">
            <w:pPr>
              <w:keepNext w:val="0"/>
              <w:keepLines w:val="0"/>
              <w:pageBreakBefore w:val="0"/>
              <w:widowControl/>
              <w:kinsoku/>
              <w:wordWrap w:val="0"/>
              <w:overflowPunct/>
              <w:topLinePunct w:val="0"/>
              <w:autoSpaceDE/>
              <w:autoSpaceDN/>
              <w:bidi w:val="0"/>
              <w:adjustRightInd/>
              <w:snapToGrid/>
              <w:spacing w:line="240" w:lineRule="auto"/>
              <w:ind w:firstLine="0" w:firstLineChars="0"/>
              <w:textAlignment w:val="auto"/>
              <w:rPr>
                <w:rFonts w:hint="eastAsia"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N28°32′1.92″</w:t>
            </w:r>
          </w:p>
          <w:p w14:paraId="38739D54">
            <w:pPr>
              <w:keepNext w:val="0"/>
              <w:keepLines w:val="0"/>
              <w:pageBreakBefore w:val="0"/>
              <w:widowControl/>
              <w:kinsoku/>
              <w:wordWrap w:val="0"/>
              <w:overflowPunct/>
              <w:topLinePunct w:val="0"/>
              <w:autoSpaceDE/>
              <w:autoSpaceDN/>
              <w:bidi w:val="0"/>
              <w:adjustRightInd/>
              <w:snapToGrid/>
              <w:spacing w:line="240" w:lineRule="auto"/>
              <w:ind w:firstLine="0" w:firstLineChars="0"/>
              <w:textAlignment w:val="auto"/>
              <w:rPr>
                <w:rFonts w:hint="eastAsia" w:ascii="仿宋_GB2312" w:hAnsi="仿宋_GB2312" w:eastAsia="仿宋_GB2312" w:cs="仿宋_GB2312"/>
                <w:color w:val="auto"/>
                <w:kern w:val="2"/>
                <w:sz w:val="21"/>
                <w:szCs w:val="21"/>
                <w:highlight w:val="none"/>
              </w:rPr>
            </w:pPr>
          </w:p>
        </w:tc>
        <w:tc>
          <w:tcPr>
            <w:tcW w:w="827" w:type="pct"/>
            <w:tcBorders>
              <w:top w:val="single" w:color="auto" w:sz="4" w:space="0"/>
              <w:left w:val="single" w:color="auto" w:sz="4" w:space="0"/>
              <w:bottom w:val="single" w:color="auto" w:sz="4" w:space="0"/>
            </w:tcBorders>
            <w:shd w:val="clear" w:color="auto" w:fill="auto"/>
            <w:vAlign w:val="center"/>
          </w:tcPr>
          <w:p w14:paraId="2DF46224">
            <w:pPr>
              <w:keepNext w:val="0"/>
              <w:keepLines w:val="0"/>
              <w:pageBreakBefore w:val="0"/>
              <w:widowControl/>
              <w:kinsoku/>
              <w:wordWrap w:val="0"/>
              <w:overflowPunct/>
              <w:topLinePunct w:val="0"/>
              <w:autoSpaceDE/>
              <w:autoSpaceDN/>
              <w:bidi w:val="0"/>
              <w:adjustRightInd/>
              <w:snapToGrid/>
              <w:spacing w:line="240" w:lineRule="auto"/>
              <w:ind w:firstLine="0" w:firstLineChars="0"/>
              <w:textAlignment w:val="auto"/>
              <w:rPr>
                <w:rFonts w:hint="eastAsia"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长度：自3#取水点算起，上游1000米至1#取水点下游100米范围；宽度：以河道中泓线为界，靠取水口一侧的范围</w:t>
            </w:r>
            <w:r>
              <w:rPr>
                <w:rFonts w:hint="eastAsia" w:cs="仿宋_GB2312"/>
                <w:color w:val="auto"/>
                <w:kern w:val="2"/>
                <w:sz w:val="21"/>
                <w:szCs w:val="21"/>
                <w:highlight w:val="none"/>
                <w:lang w:eastAsia="zh-CN"/>
              </w:rPr>
              <w:t>；</w:t>
            </w:r>
            <w:r>
              <w:rPr>
                <w:rFonts w:hint="eastAsia" w:ascii="仿宋_GB2312" w:hAnsi="仿宋_GB2312" w:eastAsia="仿宋_GB2312" w:cs="仿宋_GB2312"/>
                <w:color w:val="auto"/>
                <w:kern w:val="2"/>
                <w:sz w:val="21"/>
                <w:szCs w:val="21"/>
                <w:highlight w:val="none"/>
              </w:rPr>
              <w:t>面积</w:t>
            </w:r>
            <w:r>
              <w:rPr>
                <w:rFonts w:hint="eastAsia" w:cs="仿宋_GB2312"/>
                <w:color w:val="auto"/>
                <w:kern w:val="2"/>
                <w:sz w:val="21"/>
                <w:szCs w:val="21"/>
                <w:highlight w:val="none"/>
                <w:lang w:val="en-US" w:eastAsia="zh-CN"/>
              </w:rPr>
              <w:t>1.180</w:t>
            </w:r>
            <w:r>
              <w:rPr>
                <w:rFonts w:hint="eastAsia" w:ascii="仿宋_GB2312" w:hAnsi="仿宋_GB2312" w:eastAsia="仿宋_GB2312" w:cs="仿宋_GB2312"/>
                <w:color w:val="auto"/>
                <w:kern w:val="2"/>
                <w:sz w:val="21"/>
                <w:szCs w:val="21"/>
                <w:highlight w:val="none"/>
                <w:lang w:val="en-US" w:eastAsia="zh-CN"/>
              </w:rPr>
              <w:t>km</w:t>
            </w:r>
            <w:r>
              <w:rPr>
                <w:rFonts w:hint="eastAsia" w:ascii="仿宋_GB2312" w:hAnsi="仿宋_GB2312" w:eastAsia="仿宋_GB2312" w:cs="仿宋_GB2312"/>
                <w:color w:val="auto"/>
                <w:kern w:val="2"/>
                <w:sz w:val="21"/>
                <w:szCs w:val="21"/>
                <w:highlight w:val="none"/>
                <w:vertAlign w:val="superscript"/>
                <w:lang w:val="en-US" w:eastAsia="zh-CN"/>
              </w:rPr>
              <w:t>2</w:t>
            </w:r>
            <w:r>
              <w:rPr>
                <w:rFonts w:hint="eastAsia" w:ascii="仿宋_GB2312" w:hAnsi="仿宋_GB2312" w:eastAsia="仿宋_GB2312" w:cs="仿宋_GB2312"/>
                <w:color w:val="auto"/>
                <w:kern w:val="2"/>
                <w:sz w:val="21"/>
                <w:szCs w:val="21"/>
                <w:highlight w:val="none"/>
              </w:rPr>
              <w:t>。</w:t>
            </w:r>
          </w:p>
        </w:tc>
        <w:tc>
          <w:tcPr>
            <w:tcW w:w="827" w:type="pct"/>
            <w:tcBorders>
              <w:top w:val="single" w:color="auto" w:sz="4" w:space="0"/>
              <w:left w:val="single" w:color="auto" w:sz="4" w:space="0"/>
              <w:bottom w:val="single" w:color="auto" w:sz="4" w:space="0"/>
            </w:tcBorders>
            <w:shd w:val="clear" w:color="auto" w:fill="auto"/>
            <w:vAlign w:val="center"/>
          </w:tcPr>
          <w:p w14:paraId="2F7B1321">
            <w:pPr>
              <w:keepNext w:val="0"/>
              <w:keepLines w:val="0"/>
              <w:pageBreakBefore w:val="0"/>
              <w:widowControl/>
              <w:kinsoku/>
              <w:wordWrap w:val="0"/>
              <w:overflowPunct/>
              <w:topLinePunct w:val="0"/>
              <w:autoSpaceDE/>
              <w:autoSpaceDN/>
              <w:bidi w:val="0"/>
              <w:adjustRightInd/>
              <w:snapToGrid/>
              <w:spacing w:line="240" w:lineRule="auto"/>
              <w:ind w:firstLine="0" w:firstLineChars="0"/>
              <w:textAlignment w:val="auto"/>
              <w:rPr>
                <w:rFonts w:hint="eastAsia"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长度：和水域等长；宽度：取水口一侧的滩地以及迎水面堤脚向背水面延伸至防洪堤脚内侧范围</w:t>
            </w:r>
            <w:r>
              <w:rPr>
                <w:rFonts w:hint="eastAsia" w:cs="仿宋_GB2312"/>
                <w:color w:val="auto"/>
                <w:kern w:val="2"/>
                <w:sz w:val="21"/>
                <w:szCs w:val="21"/>
                <w:highlight w:val="none"/>
                <w:lang w:eastAsia="zh-CN"/>
              </w:rPr>
              <w:t>；</w:t>
            </w:r>
            <w:r>
              <w:rPr>
                <w:rFonts w:hint="eastAsia" w:ascii="仿宋_GB2312" w:hAnsi="仿宋_GB2312" w:eastAsia="仿宋_GB2312" w:cs="仿宋_GB2312"/>
                <w:color w:val="auto"/>
                <w:kern w:val="2"/>
                <w:sz w:val="21"/>
                <w:szCs w:val="21"/>
                <w:highlight w:val="none"/>
              </w:rPr>
              <w:t>面积</w:t>
            </w:r>
            <w:r>
              <w:rPr>
                <w:rFonts w:hint="eastAsia" w:cs="仿宋_GB2312"/>
                <w:color w:val="auto"/>
                <w:kern w:val="2"/>
                <w:sz w:val="21"/>
                <w:szCs w:val="21"/>
                <w:highlight w:val="none"/>
                <w:lang w:val="en-US" w:eastAsia="zh-CN"/>
              </w:rPr>
              <w:t>0.156</w:t>
            </w:r>
            <w:r>
              <w:rPr>
                <w:rFonts w:hint="eastAsia" w:ascii="仿宋_GB2312" w:hAnsi="仿宋_GB2312" w:eastAsia="仿宋_GB2312" w:cs="仿宋_GB2312"/>
                <w:color w:val="auto"/>
                <w:kern w:val="2"/>
                <w:sz w:val="21"/>
                <w:szCs w:val="21"/>
                <w:highlight w:val="none"/>
                <w:lang w:val="en-US" w:eastAsia="zh-CN"/>
              </w:rPr>
              <w:t>km</w:t>
            </w:r>
            <w:r>
              <w:rPr>
                <w:rFonts w:hint="eastAsia" w:ascii="仿宋_GB2312" w:hAnsi="仿宋_GB2312" w:eastAsia="仿宋_GB2312" w:cs="仿宋_GB2312"/>
                <w:color w:val="auto"/>
                <w:kern w:val="2"/>
                <w:sz w:val="21"/>
                <w:szCs w:val="21"/>
                <w:highlight w:val="none"/>
                <w:vertAlign w:val="superscript"/>
                <w:lang w:val="en-US" w:eastAsia="zh-CN"/>
              </w:rPr>
              <w:t>2</w:t>
            </w:r>
            <w:r>
              <w:rPr>
                <w:rFonts w:hint="eastAsia" w:ascii="仿宋_GB2312" w:hAnsi="仿宋_GB2312" w:eastAsia="仿宋_GB2312" w:cs="仿宋_GB2312"/>
                <w:color w:val="auto"/>
                <w:kern w:val="2"/>
                <w:sz w:val="21"/>
                <w:szCs w:val="21"/>
                <w:highlight w:val="none"/>
              </w:rPr>
              <w:t>。</w:t>
            </w:r>
          </w:p>
        </w:tc>
        <w:tc>
          <w:tcPr>
            <w:tcW w:w="827" w:type="pct"/>
            <w:tcBorders>
              <w:top w:val="single" w:color="auto" w:sz="4" w:space="0"/>
              <w:left w:val="single" w:color="auto" w:sz="4" w:space="0"/>
              <w:bottom w:val="single" w:color="auto" w:sz="4" w:space="0"/>
            </w:tcBorders>
            <w:shd w:val="clear" w:color="auto" w:fill="auto"/>
            <w:vAlign w:val="center"/>
          </w:tcPr>
          <w:p w14:paraId="4ED26316">
            <w:pPr>
              <w:keepNext w:val="0"/>
              <w:keepLines w:val="0"/>
              <w:pageBreakBefore w:val="0"/>
              <w:widowControl/>
              <w:kinsoku/>
              <w:wordWrap w:val="0"/>
              <w:overflowPunct/>
              <w:topLinePunct w:val="0"/>
              <w:autoSpaceDE/>
              <w:autoSpaceDN/>
              <w:bidi w:val="0"/>
              <w:adjustRightInd/>
              <w:snapToGrid/>
              <w:spacing w:line="240" w:lineRule="auto"/>
              <w:ind w:firstLine="0" w:firstLineChars="0"/>
              <w:textAlignment w:val="auto"/>
              <w:rPr>
                <w:rFonts w:hint="eastAsia"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长度：自一级保护区上界起上溯3000米水域范围；宽度：整个河道以及一级保护区水域向取水口相对一侧扩展至整个河道的范围</w:t>
            </w:r>
            <w:r>
              <w:rPr>
                <w:rFonts w:hint="eastAsia" w:cs="仿宋_GB2312"/>
                <w:color w:val="auto"/>
                <w:kern w:val="2"/>
                <w:sz w:val="21"/>
                <w:szCs w:val="21"/>
                <w:highlight w:val="none"/>
                <w:lang w:eastAsia="zh-CN"/>
              </w:rPr>
              <w:t>；</w:t>
            </w:r>
            <w:r>
              <w:rPr>
                <w:rFonts w:hint="eastAsia" w:ascii="仿宋_GB2312" w:hAnsi="仿宋_GB2312" w:eastAsia="仿宋_GB2312" w:cs="仿宋_GB2312"/>
                <w:color w:val="auto"/>
                <w:kern w:val="2"/>
                <w:sz w:val="21"/>
                <w:szCs w:val="21"/>
                <w:highlight w:val="none"/>
              </w:rPr>
              <w:t>面积</w:t>
            </w:r>
            <w:r>
              <w:rPr>
                <w:rFonts w:hint="eastAsia" w:cs="仿宋_GB2312"/>
                <w:color w:val="auto"/>
                <w:kern w:val="2"/>
                <w:sz w:val="21"/>
                <w:szCs w:val="21"/>
                <w:highlight w:val="none"/>
                <w:lang w:val="en-US" w:eastAsia="zh-CN"/>
              </w:rPr>
              <w:t>7.839</w:t>
            </w:r>
            <w:r>
              <w:rPr>
                <w:rFonts w:hint="eastAsia" w:ascii="仿宋_GB2312" w:hAnsi="仿宋_GB2312" w:eastAsia="仿宋_GB2312" w:cs="仿宋_GB2312"/>
                <w:color w:val="auto"/>
                <w:kern w:val="2"/>
                <w:sz w:val="21"/>
                <w:szCs w:val="21"/>
                <w:highlight w:val="none"/>
                <w:lang w:val="en-US" w:eastAsia="zh-CN"/>
              </w:rPr>
              <w:t>km</w:t>
            </w:r>
            <w:r>
              <w:rPr>
                <w:rFonts w:hint="eastAsia" w:ascii="仿宋_GB2312" w:hAnsi="仿宋_GB2312" w:eastAsia="仿宋_GB2312" w:cs="仿宋_GB2312"/>
                <w:color w:val="auto"/>
                <w:kern w:val="2"/>
                <w:sz w:val="21"/>
                <w:szCs w:val="21"/>
                <w:highlight w:val="none"/>
                <w:vertAlign w:val="superscript"/>
                <w:lang w:val="en-US" w:eastAsia="zh-CN"/>
              </w:rPr>
              <w:t>2</w:t>
            </w:r>
            <w:r>
              <w:rPr>
                <w:rFonts w:hint="eastAsia" w:ascii="仿宋_GB2312" w:hAnsi="仿宋_GB2312" w:eastAsia="仿宋_GB2312" w:cs="仿宋_GB2312"/>
                <w:color w:val="auto"/>
                <w:kern w:val="2"/>
                <w:sz w:val="21"/>
                <w:szCs w:val="21"/>
                <w:highlight w:val="none"/>
              </w:rPr>
              <w:t>。</w:t>
            </w:r>
          </w:p>
        </w:tc>
        <w:tc>
          <w:tcPr>
            <w:tcW w:w="828" w:type="pct"/>
            <w:tcBorders>
              <w:top w:val="single" w:color="auto" w:sz="4" w:space="0"/>
              <w:left w:val="single" w:color="auto" w:sz="4" w:space="0"/>
              <w:bottom w:val="single" w:color="auto" w:sz="4" w:space="0"/>
              <w:right w:val="single" w:color="auto" w:sz="4" w:space="0"/>
            </w:tcBorders>
            <w:shd w:val="clear" w:color="auto" w:fill="auto"/>
            <w:vAlign w:val="center"/>
          </w:tcPr>
          <w:p w14:paraId="59192284">
            <w:pPr>
              <w:keepNext w:val="0"/>
              <w:keepLines w:val="0"/>
              <w:pageBreakBefore w:val="0"/>
              <w:widowControl/>
              <w:kinsoku/>
              <w:wordWrap w:val="0"/>
              <w:overflowPunct/>
              <w:topLinePunct w:val="0"/>
              <w:autoSpaceDE/>
              <w:autoSpaceDN/>
              <w:bidi w:val="0"/>
              <w:adjustRightInd/>
              <w:snapToGrid/>
              <w:spacing w:line="240" w:lineRule="auto"/>
              <w:ind w:firstLine="0" w:firstLineChars="0"/>
              <w:textAlignment w:val="auto"/>
              <w:rPr>
                <w:rFonts w:hint="eastAsia"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长度：和水域等长；宽度：取水口一侧的滩地以及迎水面堤脚向背水面延伸至防洪堤脚内侧的范围</w:t>
            </w:r>
            <w:r>
              <w:rPr>
                <w:rFonts w:hint="eastAsia" w:cs="仿宋_GB2312"/>
                <w:color w:val="auto"/>
                <w:kern w:val="2"/>
                <w:sz w:val="21"/>
                <w:szCs w:val="21"/>
                <w:highlight w:val="none"/>
                <w:lang w:eastAsia="zh-CN"/>
              </w:rPr>
              <w:t>；</w:t>
            </w:r>
            <w:r>
              <w:rPr>
                <w:rFonts w:hint="eastAsia" w:ascii="仿宋_GB2312" w:hAnsi="仿宋_GB2312" w:eastAsia="仿宋_GB2312" w:cs="仿宋_GB2312"/>
                <w:color w:val="auto"/>
                <w:kern w:val="2"/>
                <w:sz w:val="21"/>
                <w:szCs w:val="21"/>
                <w:highlight w:val="none"/>
              </w:rPr>
              <w:t>面积</w:t>
            </w:r>
            <w:r>
              <w:rPr>
                <w:rFonts w:hint="eastAsia" w:cs="仿宋_GB2312"/>
                <w:color w:val="auto"/>
                <w:kern w:val="2"/>
                <w:sz w:val="21"/>
                <w:szCs w:val="21"/>
                <w:highlight w:val="none"/>
                <w:lang w:val="en-US" w:eastAsia="zh-CN"/>
              </w:rPr>
              <w:t>0.451</w:t>
            </w:r>
            <w:r>
              <w:rPr>
                <w:rFonts w:hint="eastAsia" w:ascii="仿宋_GB2312" w:hAnsi="仿宋_GB2312" w:eastAsia="仿宋_GB2312" w:cs="仿宋_GB2312"/>
                <w:color w:val="auto"/>
                <w:kern w:val="2"/>
                <w:sz w:val="21"/>
                <w:szCs w:val="21"/>
                <w:highlight w:val="none"/>
                <w:lang w:val="en-US" w:eastAsia="zh-CN"/>
              </w:rPr>
              <w:t>km</w:t>
            </w:r>
            <w:r>
              <w:rPr>
                <w:rFonts w:hint="eastAsia" w:ascii="仿宋_GB2312" w:hAnsi="仿宋_GB2312" w:eastAsia="仿宋_GB2312" w:cs="仿宋_GB2312"/>
                <w:color w:val="auto"/>
                <w:kern w:val="2"/>
                <w:sz w:val="21"/>
                <w:szCs w:val="21"/>
                <w:highlight w:val="none"/>
                <w:vertAlign w:val="superscript"/>
                <w:lang w:val="en-US" w:eastAsia="zh-CN"/>
              </w:rPr>
              <w:t>2</w:t>
            </w:r>
            <w:r>
              <w:rPr>
                <w:rFonts w:hint="eastAsia" w:ascii="仿宋_GB2312" w:hAnsi="仿宋_GB2312" w:eastAsia="仿宋_GB2312" w:cs="仿宋_GB2312"/>
                <w:color w:val="auto"/>
                <w:kern w:val="2"/>
                <w:sz w:val="21"/>
                <w:szCs w:val="21"/>
                <w:highlight w:val="none"/>
              </w:rPr>
              <w:t>。</w:t>
            </w:r>
          </w:p>
        </w:tc>
      </w:tr>
    </w:tbl>
    <w:p w14:paraId="2E6E7772">
      <w:pPr>
        <w:pStyle w:val="4"/>
        <w:bidi w:val="0"/>
        <w:rPr>
          <w:color w:val="auto"/>
          <w:highlight w:val="none"/>
        </w:rPr>
      </w:pPr>
      <w:r>
        <w:rPr>
          <w:rFonts w:hint="eastAsia"/>
          <w:color w:val="auto"/>
          <w:highlight w:val="none"/>
          <w:lang w:val="en-US" w:eastAsia="zh-CN"/>
        </w:rPr>
        <w:t>5.1.5</w:t>
      </w:r>
      <w:r>
        <w:rPr>
          <w:rFonts w:hint="eastAsia"/>
          <w:color w:val="auto"/>
          <w:highlight w:val="none"/>
        </w:rPr>
        <w:t>生米水厂饮用水源地</w:t>
      </w:r>
    </w:p>
    <w:p w14:paraId="2BD9DD42">
      <w:pPr>
        <w:ind w:firstLine="560"/>
        <w:rPr>
          <w:rFonts w:hint="eastAsia" w:ascii="Times New Roman" w:hAnsi="Times New Roman" w:cs="Times New Roman"/>
          <w:color w:val="auto"/>
          <w:sz w:val="28"/>
          <w:szCs w:val="28"/>
          <w:highlight w:val="none"/>
          <w:lang w:val="en-US" w:eastAsia="zh-CN"/>
        </w:rPr>
      </w:pPr>
      <w:r>
        <w:rPr>
          <w:rFonts w:hint="eastAsia" w:ascii="Times New Roman" w:hAnsi="Times New Roman" w:cs="Times New Roman"/>
          <w:color w:val="auto"/>
          <w:sz w:val="28"/>
          <w:szCs w:val="28"/>
          <w:highlight w:val="none"/>
          <w:lang w:val="en-US" w:eastAsia="zh-CN"/>
        </w:rPr>
        <w:t>生米水厂水源地取水来自赣江，设有1个取水口，服务范围为生米镇、流湖乡部分、厚田乡等区域，供水人数共计2.4万人，</w:t>
      </w:r>
      <w:r>
        <w:rPr>
          <w:rFonts w:hint="eastAsia" w:ascii="Times New Roman" w:hAnsi="Times New Roman" w:cs="Times New Roman"/>
          <w:color w:val="auto"/>
          <w:sz w:val="28"/>
          <w:szCs w:val="28"/>
          <w:highlight w:val="none"/>
        </w:rPr>
        <w:t>日供水规模</w:t>
      </w:r>
      <w:r>
        <w:rPr>
          <w:rFonts w:hint="eastAsia" w:ascii="Times New Roman" w:hAnsi="Times New Roman" w:cs="Times New Roman"/>
          <w:color w:val="auto"/>
          <w:sz w:val="28"/>
          <w:szCs w:val="28"/>
          <w:highlight w:val="none"/>
          <w:lang w:val="en-US" w:eastAsia="zh-CN"/>
        </w:rPr>
        <w:t>2</w:t>
      </w:r>
      <w:r>
        <w:rPr>
          <w:rFonts w:hint="eastAsia" w:ascii="Times New Roman" w:hAnsi="Times New Roman" w:cs="Times New Roman"/>
          <w:color w:val="auto"/>
          <w:sz w:val="28"/>
          <w:szCs w:val="28"/>
          <w:highlight w:val="none"/>
        </w:rPr>
        <w:t>万吨</w:t>
      </w:r>
      <w:r>
        <w:rPr>
          <w:rFonts w:hint="eastAsia" w:ascii="Times New Roman" w:hAnsi="Times New Roman" w:cs="Times New Roman"/>
          <w:color w:val="auto"/>
          <w:sz w:val="28"/>
          <w:szCs w:val="28"/>
          <w:highlight w:val="none"/>
          <w:lang w:val="en-US" w:eastAsia="zh-CN"/>
        </w:rPr>
        <w:t>，取水口中心地理坐标为：E 115°48′1.93″，N28°33′30.41″</w:t>
      </w:r>
      <w:r>
        <w:rPr>
          <w:rFonts w:hint="eastAsia" w:ascii="Times New Roman" w:hAnsi="Times New Roman" w:cs="Times New Roman"/>
          <w:color w:val="auto"/>
          <w:sz w:val="28"/>
          <w:szCs w:val="28"/>
          <w:highlight w:val="none"/>
          <w:lang w:eastAsia="zh-CN"/>
        </w:rPr>
        <w:t>，</w:t>
      </w:r>
      <w:r>
        <w:rPr>
          <w:rFonts w:hint="eastAsia" w:ascii="Times New Roman" w:hAnsi="Times New Roman" w:cs="Times New Roman"/>
          <w:color w:val="auto"/>
          <w:sz w:val="28"/>
          <w:szCs w:val="28"/>
          <w:highlight w:val="none"/>
          <w:lang w:val="en-US" w:eastAsia="zh-CN"/>
        </w:rPr>
        <w:t>生米</w:t>
      </w:r>
      <w:r>
        <w:rPr>
          <w:rFonts w:hint="eastAsia"/>
          <w:color w:val="auto"/>
          <w:sz w:val="28"/>
          <w:szCs w:val="21"/>
          <w:highlight w:val="none"/>
          <w:lang w:eastAsia="zh-CN"/>
        </w:rPr>
        <w:t>水厂饮用水源地</w:t>
      </w:r>
      <w:r>
        <w:rPr>
          <w:rFonts w:hint="eastAsia"/>
          <w:color w:val="auto"/>
          <w:sz w:val="28"/>
          <w:szCs w:val="21"/>
          <w:highlight w:val="none"/>
          <w:lang w:val="en-US" w:eastAsia="zh-CN"/>
        </w:rPr>
        <w:t>保护区全部处于红谷滩区范围内</w:t>
      </w:r>
      <w:r>
        <w:rPr>
          <w:rFonts w:hint="eastAsia" w:ascii="Times New Roman" w:hAnsi="Times New Roman" w:cs="Times New Roman"/>
          <w:color w:val="auto"/>
          <w:sz w:val="28"/>
          <w:szCs w:val="28"/>
          <w:highlight w:val="none"/>
          <w:lang w:val="en-US" w:eastAsia="zh-CN"/>
        </w:rPr>
        <w:t>。</w:t>
      </w:r>
    </w:p>
    <w:p w14:paraId="7EC1C8E9">
      <w:pPr>
        <w:ind w:firstLine="560"/>
        <w:rPr>
          <w:rFonts w:hint="eastAsia" w:ascii="Times New Roman" w:hAnsi="Times New Roman" w:cs="Times New Roman"/>
          <w:color w:val="auto"/>
          <w:sz w:val="28"/>
          <w:szCs w:val="28"/>
          <w:highlight w:val="none"/>
          <w:lang w:val="en-US" w:eastAsia="zh-CN"/>
        </w:rPr>
      </w:pPr>
      <w:r>
        <w:rPr>
          <w:rFonts w:hint="eastAsia" w:ascii="Times New Roman" w:hAnsi="Times New Roman" w:cs="Times New Roman"/>
          <w:color w:val="auto"/>
          <w:sz w:val="28"/>
          <w:szCs w:val="28"/>
          <w:highlight w:val="none"/>
          <w:lang w:val="en-US" w:eastAsia="zh-CN"/>
        </w:rPr>
        <w:t>生米水厂饮用水水源保护区于2020年获得江西省人民政府批复，属于</w:t>
      </w:r>
      <w:r>
        <w:rPr>
          <w:rFonts w:hint="eastAsia" w:ascii="Times New Roman" w:hAnsi="Times New Roman" w:cs="Times New Roman"/>
          <w:color w:val="auto"/>
          <w:sz w:val="28"/>
          <w:szCs w:val="28"/>
          <w:highlight w:val="none"/>
          <w:lang w:val="en-US" w:eastAsia="zh-Hans"/>
        </w:rPr>
        <w:t>河流</w:t>
      </w:r>
      <w:r>
        <w:rPr>
          <w:rFonts w:hint="eastAsia" w:ascii="Times New Roman" w:hAnsi="Times New Roman" w:cs="Times New Roman"/>
          <w:color w:val="auto"/>
          <w:sz w:val="28"/>
          <w:szCs w:val="28"/>
          <w:highlight w:val="none"/>
          <w:lang w:val="en-US" w:eastAsia="zh-CN"/>
        </w:rPr>
        <w:t>型，其保护区范围见下表：</w:t>
      </w:r>
    </w:p>
    <w:p w14:paraId="5595595D">
      <w:pPr>
        <w:keepNext w:val="0"/>
        <w:keepLines w:val="0"/>
        <w:pageBreakBefore w:val="0"/>
        <w:widowControl/>
        <w:kinsoku/>
        <w:wordWrap w:val="0"/>
        <w:overflowPunct/>
        <w:topLinePunct w:val="0"/>
        <w:autoSpaceDE/>
        <w:autoSpaceDN/>
        <w:bidi w:val="0"/>
        <w:adjustRightInd/>
        <w:snapToGrid/>
        <w:spacing w:line="240" w:lineRule="auto"/>
        <w:ind w:firstLine="0" w:firstLineChars="0"/>
        <w:jc w:val="center"/>
        <w:textAlignment w:val="auto"/>
        <w:rPr>
          <w:color w:val="auto"/>
          <w:sz w:val="28"/>
          <w:szCs w:val="21"/>
          <w:highlight w:val="none"/>
        </w:rPr>
      </w:pPr>
      <w:r>
        <w:rPr>
          <w:rFonts w:hint="eastAsia"/>
          <w:b/>
          <w:color w:val="auto"/>
          <w:sz w:val="28"/>
          <w:szCs w:val="28"/>
          <w:highlight w:val="none"/>
        </w:rPr>
        <w:t>表</w:t>
      </w:r>
      <w:r>
        <w:rPr>
          <w:rFonts w:hint="eastAsia"/>
          <w:b/>
          <w:color w:val="auto"/>
          <w:sz w:val="28"/>
          <w:szCs w:val="28"/>
          <w:highlight w:val="none"/>
          <w:lang w:val="en-US" w:eastAsia="zh-CN"/>
        </w:rPr>
        <w:t>5</w:t>
      </w:r>
      <w:r>
        <w:rPr>
          <w:rFonts w:hint="eastAsia"/>
          <w:b/>
          <w:color w:val="auto"/>
          <w:sz w:val="28"/>
          <w:szCs w:val="28"/>
          <w:highlight w:val="none"/>
        </w:rPr>
        <w:t>.</w:t>
      </w:r>
      <w:r>
        <w:rPr>
          <w:rFonts w:hint="eastAsia"/>
          <w:b/>
          <w:color w:val="auto"/>
          <w:sz w:val="28"/>
          <w:szCs w:val="28"/>
          <w:highlight w:val="none"/>
          <w:lang w:val="en-US" w:eastAsia="zh-CN"/>
        </w:rPr>
        <w:t>1-5</w:t>
      </w:r>
      <w:r>
        <w:rPr>
          <w:rFonts w:hint="eastAsia"/>
          <w:b/>
          <w:color w:val="auto"/>
          <w:sz w:val="28"/>
          <w:szCs w:val="28"/>
          <w:highlight w:val="none"/>
        </w:rPr>
        <w:t xml:space="preserve">  饮用水源地保护区划定范围表</w:t>
      </w:r>
    </w:p>
    <w:tbl>
      <w:tblPr>
        <w:tblStyle w:val="7"/>
        <w:tblW w:w="4998" w:type="pct"/>
        <w:jc w:val="center"/>
        <w:tblLayout w:type="fixed"/>
        <w:tblCellMar>
          <w:top w:w="0" w:type="dxa"/>
          <w:left w:w="57" w:type="dxa"/>
          <w:bottom w:w="0" w:type="dxa"/>
          <w:right w:w="57" w:type="dxa"/>
        </w:tblCellMar>
      </w:tblPr>
      <w:tblGrid>
        <w:gridCol w:w="592"/>
        <w:gridCol w:w="576"/>
        <w:gridCol w:w="924"/>
        <w:gridCol w:w="1604"/>
        <w:gridCol w:w="1708"/>
        <w:gridCol w:w="1659"/>
        <w:gridCol w:w="1353"/>
      </w:tblGrid>
      <w:tr w14:paraId="3CF73485">
        <w:tblPrEx>
          <w:tblCellMar>
            <w:top w:w="0" w:type="dxa"/>
            <w:left w:w="57" w:type="dxa"/>
            <w:bottom w:w="0" w:type="dxa"/>
            <w:right w:w="57" w:type="dxa"/>
          </w:tblCellMar>
        </w:tblPrEx>
        <w:trPr>
          <w:trHeight w:val="425" w:hRule="atLeast"/>
          <w:tblHeader/>
          <w:jc w:val="center"/>
        </w:trPr>
        <w:tc>
          <w:tcPr>
            <w:tcW w:w="351" w:type="pct"/>
            <w:vMerge w:val="restart"/>
            <w:tcBorders>
              <w:top w:val="single" w:color="auto" w:sz="4" w:space="0"/>
              <w:left w:val="single" w:color="auto" w:sz="4" w:space="0"/>
            </w:tcBorders>
            <w:shd w:val="clear" w:color="auto" w:fill="auto"/>
            <w:vAlign w:val="center"/>
          </w:tcPr>
          <w:p w14:paraId="64E5739D">
            <w:pPr>
              <w:pStyle w:val="10"/>
              <w:jc w:val="center"/>
              <w:rPr>
                <w:rFonts w:ascii="仿宋_GB2312" w:hAnsi="仿宋_GB2312" w:eastAsia="仿宋_GB2312" w:cs="仿宋_GB2312"/>
                <w:b/>
                <w:bCs/>
                <w:color w:val="auto"/>
                <w:kern w:val="2"/>
                <w:sz w:val="21"/>
                <w:szCs w:val="21"/>
                <w:highlight w:val="none"/>
              </w:rPr>
            </w:pPr>
            <w:r>
              <w:rPr>
                <w:rFonts w:hint="eastAsia" w:ascii="仿宋_GB2312" w:hAnsi="仿宋_GB2312" w:eastAsia="仿宋_GB2312" w:cs="仿宋_GB2312"/>
                <w:b/>
                <w:bCs/>
                <w:color w:val="auto"/>
                <w:kern w:val="2"/>
                <w:sz w:val="21"/>
                <w:szCs w:val="21"/>
                <w:highlight w:val="none"/>
              </w:rPr>
              <w:t>水源名称</w:t>
            </w:r>
          </w:p>
        </w:tc>
        <w:tc>
          <w:tcPr>
            <w:tcW w:w="342" w:type="pct"/>
            <w:vMerge w:val="restart"/>
            <w:tcBorders>
              <w:top w:val="single" w:color="auto" w:sz="4" w:space="0"/>
              <w:left w:val="single" w:color="auto" w:sz="4" w:space="0"/>
            </w:tcBorders>
            <w:shd w:val="clear" w:color="auto" w:fill="auto"/>
            <w:vAlign w:val="center"/>
          </w:tcPr>
          <w:p w14:paraId="0229B62A">
            <w:pPr>
              <w:pStyle w:val="10"/>
              <w:jc w:val="center"/>
              <w:rPr>
                <w:rFonts w:ascii="仿宋_GB2312" w:hAnsi="仿宋_GB2312" w:eastAsia="仿宋_GB2312" w:cs="仿宋_GB2312"/>
                <w:b/>
                <w:bCs/>
                <w:color w:val="auto"/>
                <w:kern w:val="2"/>
                <w:sz w:val="21"/>
                <w:szCs w:val="21"/>
                <w:highlight w:val="none"/>
              </w:rPr>
            </w:pPr>
            <w:r>
              <w:rPr>
                <w:rFonts w:hint="eastAsia" w:ascii="仿宋_GB2312" w:hAnsi="仿宋_GB2312" w:eastAsia="仿宋_GB2312" w:cs="仿宋_GB2312"/>
                <w:b/>
                <w:bCs/>
                <w:color w:val="auto"/>
                <w:kern w:val="2"/>
                <w:sz w:val="21"/>
                <w:szCs w:val="21"/>
                <w:highlight w:val="none"/>
              </w:rPr>
              <w:t>水源类型</w:t>
            </w:r>
          </w:p>
        </w:tc>
        <w:tc>
          <w:tcPr>
            <w:tcW w:w="548" w:type="pct"/>
            <w:vMerge w:val="restart"/>
            <w:tcBorders>
              <w:top w:val="single" w:color="auto" w:sz="4" w:space="0"/>
              <w:left w:val="single" w:color="auto" w:sz="4" w:space="0"/>
            </w:tcBorders>
            <w:shd w:val="clear" w:color="auto" w:fill="auto"/>
            <w:vAlign w:val="center"/>
          </w:tcPr>
          <w:p w14:paraId="299D0959">
            <w:pPr>
              <w:pStyle w:val="10"/>
              <w:jc w:val="center"/>
              <w:rPr>
                <w:rFonts w:ascii="仿宋_GB2312" w:hAnsi="仿宋_GB2312" w:eastAsia="仿宋_GB2312" w:cs="仿宋_GB2312"/>
                <w:b/>
                <w:bCs/>
                <w:color w:val="auto"/>
                <w:kern w:val="2"/>
                <w:sz w:val="21"/>
                <w:szCs w:val="21"/>
                <w:highlight w:val="none"/>
              </w:rPr>
            </w:pPr>
            <w:r>
              <w:rPr>
                <w:rFonts w:hint="eastAsia" w:ascii="仿宋_GB2312" w:hAnsi="仿宋_GB2312" w:eastAsia="仿宋_GB2312" w:cs="仿宋_GB2312"/>
                <w:b/>
                <w:bCs/>
                <w:color w:val="auto"/>
                <w:kern w:val="2"/>
                <w:sz w:val="21"/>
                <w:szCs w:val="21"/>
                <w:highlight w:val="none"/>
              </w:rPr>
              <w:t>取水口经纬度</w:t>
            </w:r>
          </w:p>
        </w:tc>
        <w:tc>
          <w:tcPr>
            <w:tcW w:w="1967" w:type="pct"/>
            <w:gridSpan w:val="2"/>
            <w:tcBorders>
              <w:top w:val="single" w:color="auto" w:sz="4" w:space="0"/>
              <w:left w:val="single" w:color="auto" w:sz="4" w:space="0"/>
            </w:tcBorders>
            <w:shd w:val="clear" w:color="auto" w:fill="auto"/>
            <w:vAlign w:val="center"/>
          </w:tcPr>
          <w:p w14:paraId="4C1825D1">
            <w:pPr>
              <w:pStyle w:val="10"/>
              <w:jc w:val="center"/>
              <w:rPr>
                <w:rFonts w:ascii="仿宋_GB2312" w:hAnsi="仿宋_GB2312" w:eastAsia="仿宋_GB2312" w:cs="仿宋_GB2312"/>
                <w:b/>
                <w:bCs/>
                <w:color w:val="auto"/>
                <w:kern w:val="2"/>
                <w:sz w:val="21"/>
                <w:szCs w:val="21"/>
                <w:highlight w:val="none"/>
              </w:rPr>
            </w:pPr>
            <w:r>
              <w:rPr>
                <w:rFonts w:hint="eastAsia" w:ascii="仿宋_GB2312" w:hAnsi="仿宋_GB2312" w:eastAsia="仿宋_GB2312" w:cs="仿宋_GB2312"/>
                <w:b/>
                <w:bCs/>
                <w:color w:val="auto"/>
                <w:kern w:val="2"/>
                <w:sz w:val="21"/>
                <w:szCs w:val="21"/>
                <w:highlight w:val="none"/>
              </w:rPr>
              <w:t>一级保护区</w:t>
            </w:r>
          </w:p>
        </w:tc>
        <w:tc>
          <w:tcPr>
            <w:tcW w:w="1790" w:type="pct"/>
            <w:gridSpan w:val="2"/>
            <w:tcBorders>
              <w:top w:val="single" w:color="auto" w:sz="4" w:space="0"/>
              <w:left w:val="single" w:color="auto" w:sz="4" w:space="0"/>
              <w:right w:val="single" w:color="auto" w:sz="4" w:space="0"/>
            </w:tcBorders>
            <w:shd w:val="clear" w:color="auto" w:fill="auto"/>
            <w:vAlign w:val="center"/>
          </w:tcPr>
          <w:p w14:paraId="125E3542">
            <w:pPr>
              <w:pStyle w:val="10"/>
              <w:jc w:val="center"/>
              <w:rPr>
                <w:rFonts w:ascii="仿宋_GB2312" w:hAnsi="仿宋_GB2312" w:eastAsia="仿宋_GB2312" w:cs="仿宋_GB2312"/>
                <w:b/>
                <w:bCs/>
                <w:color w:val="auto"/>
                <w:kern w:val="2"/>
                <w:sz w:val="21"/>
                <w:szCs w:val="21"/>
                <w:highlight w:val="none"/>
              </w:rPr>
            </w:pPr>
            <w:r>
              <w:rPr>
                <w:rFonts w:hint="eastAsia" w:ascii="仿宋_GB2312" w:hAnsi="仿宋_GB2312" w:eastAsia="仿宋_GB2312" w:cs="仿宋_GB2312"/>
                <w:b/>
                <w:bCs/>
                <w:color w:val="auto"/>
                <w:kern w:val="2"/>
                <w:sz w:val="21"/>
                <w:szCs w:val="21"/>
                <w:highlight w:val="none"/>
              </w:rPr>
              <w:t>二级保护区</w:t>
            </w:r>
          </w:p>
        </w:tc>
      </w:tr>
      <w:tr w14:paraId="274516FB">
        <w:tblPrEx>
          <w:tblCellMar>
            <w:top w:w="0" w:type="dxa"/>
            <w:left w:w="57" w:type="dxa"/>
            <w:bottom w:w="0" w:type="dxa"/>
            <w:right w:w="57" w:type="dxa"/>
          </w:tblCellMar>
        </w:tblPrEx>
        <w:trPr>
          <w:trHeight w:val="425" w:hRule="atLeast"/>
          <w:tblHeader/>
          <w:jc w:val="center"/>
        </w:trPr>
        <w:tc>
          <w:tcPr>
            <w:tcW w:w="351" w:type="pct"/>
            <w:vMerge w:val="continue"/>
            <w:tcBorders>
              <w:left w:val="single" w:color="auto" w:sz="4" w:space="0"/>
            </w:tcBorders>
            <w:shd w:val="clear" w:color="auto" w:fill="auto"/>
            <w:vAlign w:val="center"/>
          </w:tcPr>
          <w:p w14:paraId="00AF6592">
            <w:pPr>
              <w:pStyle w:val="10"/>
              <w:jc w:val="center"/>
              <w:rPr>
                <w:rFonts w:ascii="仿宋_GB2312" w:hAnsi="仿宋_GB2312" w:eastAsia="仿宋_GB2312" w:cs="仿宋_GB2312"/>
                <w:b/>
                <w:bCs/>
                <w:color w:val="auto"/>
                <w:kern w:val="2"/>
                <w:sz w:val="21"/>
                <w:szCs w:val="21"/>
                <w:highlight w:val="none"/>
              </w:rPr>
            </w:pPr>
          </w:p>
        </w:tc>
        <w:tc>
          <w:tcPr>
            <w:tcW w:w="342" w:type="pct"/>
            <w:vMerge w:val="continue"/>
            <w:tcBorders>
              <w:left w:val="single" w:color="auto" w:sz="4" w:space="0"/>
            </w:tcBorders>
            <w:shd w:val="clear" w:color="auto" w:fill="auto"/>
            <w:textDirection w:val="tbRlV"/>
            <w:vAlign w:val="center"/>
          </w:tcPr>
          <w:p w14:paraId="15E1DC3C">
            <w:pPr>
              <w:pStyle w:val="10"/>
              <w:jc w:val="center"/>
              <w:rPr>
                <w:rFonts w:ascii="仿宋_GB2312" w:hAnsi="仿宋_GB2312" w:eastAsia="仿宋_GB2312" w:cs="仿宋_GB2312"/>
                <w:b/>
                <w:bCs/>
                <w:color w:val="auto"/>
                <w:kern w:val="2"/>
                <w:sz w:val="21"/>
                <w:szCs w:val="21"/>
                <w:highlight w:val="none"/>
              </w:rPr>
            </w:pPr>
          </w:p>
        </w:tc>
        <w:tc>
          <w:tcPr>
            <w:tcW w:w="548" w:type="pct"/>
            <w:vMerge w:val="continue"/>
            <w:tcBorders>
              <w:left w:val="single" w:color="auto" w:sz="4" w:space="0"/>
            </w:tcBorders>
            <w:shd w:val="clear" w:color="auto" w:fill="auto"/>
            <w:vAlign w:val="center"/>
          </w:tcPr>
          <w:p w14:paraId="3C3D76E1">
            <w:pPr>
              <w:pStyle w:val="10"/>
              <w:jc w:val="center"/>
              <w:rPr>
                <w:rFonts w:ascii="仿宋_GB2312" w:hAnsi="仿宋_GB2312" w:eastAsia="仿宋_GB2312" w:cs="仿宋_GB2312"/>
                <w:b/>
                <w:bCs/>
                <w:color w:val="auto"/>
                <w:kern w:val="2"/>
                <w:sz w:val="21"/>
                <w:szCs w:val="21"/>
                <w:highlight w:val="none"/>
              </w:rPr>
            </w:pPr>
          </w:p>
        </w:tc>
        <w:tc>
          <w:tcPr>
            <w:tcW w:w="952" w:type="pct"/>
            <w:tcBorders>
              <w:top w:val="single" w:color="auto" w:sz="4" w:space="0"/>
              <w:left w:val="single" w:color="auto" w:sz="4" w:space="0"/>
            </w:tcBorders>
            <w:shd w:val="clear" w:color="auto" w:fill="auto"/>
            <w:vAlign w:val="center"/>
          </w:tcPr>
          <w:p w14:paraId="449C2381">
            <w:pPr>
              <w:pStyle w:val="10"/>
              <w:jc w:val="center"/>
              <w:rPr>
                <w:rFonts w:ascii="仿宋_GB2312" w:hAnsi="仿宋_GB2312" w:eastAsia="仿宋_GB2312" w:cs="仿宋_GB2312"/>
                <w:b/>
                <w:bCs/>
                <w:color w:val="auto"/>
                <w:kern w:val="2"/>
                <w:sz w:val="21"/>
                <w:szCs w:val="21"/>
                <w:highlight w:val="none"/>
              </w:rPr>
            </w:pPr>
            <w:r>
              <w:rPr>
                <w:rFonts w:hint="eastAsia" w:ascii="仿宋_GB2312" w:hAnsi="仿宋_GB2312" w:eastAsia="仿宋_GB2312" w:cs="仿宋_GB2312"/>
                <w:b/>
                <w:bCs/>
                <w:color w:val="auto"/>
                <w:kern w:val="2"/>
                <w:sz w:val="21"/>
                <w:szCs w:val="21"/>
                <w:highlight w:val="none"/>
              </w:rPr>
              <w:t>水域</w:t>
            </w:r>
          </w:p>
        </w:tc>
        <w:tc>
          <w:tcPr>
            <w:tcW w:w="1014" w:type="pct"/>
            <w:tcBorders>
              <w:top w:val="single" w:color="auto" w:sz="4" w:space="0"/>
              <w:left w:val="single" w:color="auto" w:sz="4" w:space="0"/>
            </w:tcBorders>
            <w:shd w:val="clear" w:color="auto" w:fill="auto"/>
            <w:vAlign w:val="center"/>
          </w:tcPr>
          <w:p w14:paraId="717C36B8">
            <w:pPr>
              <w:pStyle w:val="10"/>
              <w:jc w:val="center"/>
              <w:rPr>
                <w:rFonts w:ascii="仿宋_GB2312" w:hAnsi="仿宋_GB2312" w:eastAsia="仿宋_GB2312" w:cs="仿宋_GB2312"/>
                <w:b/>
                <w:bCs/>
                <w:color w:val="auto"/>
                <w:kern w:val="2"/>
                <w:sz w:val="21"/>
                <w:szCs w:val="21"/>
                <w:highlight w:val="none"/>
              </w:rPr>
            </w:pPr>
            <w:r>
              <w:rPr>
                <w:rFonts w:hint="eastAsia" w:ascii="仿宋_GB2312" w:hAnsi="仿宋_GB2312" w:eastAsia="仿宋_GB2312" w:cs="仿宋_GB2312"/>
                <w:b/>
                <w:bCs/>
                <w:color w:val="auto"/>
                <w:kern w:val="2"/>
                <w:sz w:val="21"/>
                <w:szCs w:val="21"/>
                <w:highlight w:val="none"/>
              </w:rPr>
              <w:t>陆域</w:t>
            </w:r>
          </w:p>
        </w:tc>
        <w:tc>
          <w:tcPr>
            <w:tcW w:w="986" w:type="pct"/>
            <w:tcBorders>
              <w:top w:val="single" w:color="auto" w:sz="4" w:space="0"/>
              <w:left w:val="single" w:color="auto" w:sz="4" w:space="0"/>
            </w:tcBorders>
            <w:shd w:val="clear" w:color="auto" w:fill="auto"/>
            <w:vAlign w:val="center"/>
          </w:tcPr>
          <w:p w14:paraId="4386FB57">
            <w:pPr>
              <w:pStyle w:val="10"/>
              <w:jc w:val="center"/>
              <w:rPr>
                <w:rFonts w:ascii="仿宋_GB2312" w:hAnsi="仿宋_GB2312" w:eastAsia="仿宋_GB2312" w:cs="仿宋_GB2312"/>
                <w:b/>
                <w:bCs/>
                <w:color w:val="auto"/>
                <w:kern w:val="2"/>
                <w:sz w:val="21"/>
                <w:szCs w:val="21"/>
                <w:highlight w:val="none"/>
              </w:rPr>
            </w:pPr>
            <w:r>
              <w:rPr>
                <w:rFonts w:hint="eastAsia" w:ascii="仿宋_GB2312" w:hAnsi="仿宋_GB2312" w:eastAsia="仿宋_GB2312" w:cs="仿宋_GB2312"/>
                <w:b/>
                <w:bCs/>
                <w:color w:val="auto"/>
                <w:kern w:val="2"/>
                <w:sz w:val="21"/>
                <w:szCs w:val="21"/>
                <w:highlight w:val="none"/>
              </w:rPr>
              <w:t>水域</w:t>
            </w:r>
          </w:p>
        </w:tc>
        <w:tc>
          <w:tcPr>
            <w:tcW w:w="803" w:type="pct"/>
            <w:tcBorders>
              <w:top w:val="single" w:color="auto" w:sz="4" w:space="0"/>
              <w:left w:val="single" w:color="auto" w:sz="4" w:space="0"/>
              <w:right w:val="single" w:color="auto" w:sz="4" w:space="0"/>
            </w:tcBorders>
            <w:shd w:val="clear" w:color="auto" w:fill="auto"/>
            <w:vAlign w:val="center"/>
          </w:tcPr>
          <w:p w14:paraId="7ACBF0C6">
            <w:pPr>
              <w:pStyle w:val="10"/>
              <w:jc w:val="center"/>
              <w:rPr>
                <w:rFonts w:ascii="仿宋_GB2312" w:hAnsi="仿宋_GB2312" w:eastAsia="仿宋_GB2312" w:cs="仿宋_GB2312"/>
                <w:b/>
                <w:bCs/>
                <w:color w:val="auto"/>
                <w:kern w:val="2"/>
                <w:sz w:val="21"/>
                <w:szCs w:val="21"/>
                <w:highlight w:val="none"/>
              </w:rPr>
            </w:pPr>
            <w:r>
              <w:rPr>
                <w:rFonts w:hint="eastAsia" w:ascii="仿宋_GB2312" w:hAnsi="仿宋_GB2312" w:eastAsia="仿宋_GB2312" w:cs="仿宋_GB2312"/>
                <w:b/>
                <w:bCs/>
                <w:color w:val="auto"/>
                <w:kern w:val="2"/>
                <w:sz w:val="21"/>
                <w:szCs w:val="21"/>
                <w:highlight w:val="none"/>
              </w:rPr>
              <w:t>陆域</w:t>
            </w:r>
          </w:p>
        </w:tc>
      </w:tr>
      <w:tr w14:paraId="02FCC8BF">
        <w:tblPrEx>
          <w:tblCellMar>
            <w:top w:w="0" w:type="dxa"/>
            <w:left w:w="57" w:type="dxa"/>
            <w:bottom w:w="0" w:type="dxa"/>
            <w:right w:w="57" w:type="dxa"/>
          </w:tblCellMar>
        </w:tblPrEx>
        <w:trPr>
          <w:trHeight w:val="425" w:hRule="atLeast"/>
          <w:jc w:val="center"/>
        </w:trPr>
        <w:tc>
          <w:tcPr>
            <w:tcW w:w="351" w:type="pct"/>
            <w:tcBorders>
              <w:top w:val="single" w:color="auto" w:sz="4" w:space="0"/>
              <w:left w:val="single" w:color="auto" w:sz="4" w:space="0"/>
              <w:bottom w:val="single" w:color="auto" w:sz="4" w:space="0"/>
            </w:tcBorders>
            <w:shd w:val="clear" w:color="auto" w:fill="auto"/>
            <w:vAlign w:val="center"/>
          </w:tcPr>
          <w:p w14:paraId="247C8410">
            <w:pPr>
              <w:pStyle w:val="10"/>
              <w:jc w:val="center"/>
              <w:rPr>
                <w:rFonts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lang w:val="en-US" w:eastAsia="zh-CN"/>
              </w:rPr>
              <w:t>生米</w:t>
            </w:r>
            <w:r>
              <w:rPr>
                <w:rFonts w:hint="eastAsia" w:ascii="仿宋_GB2312" w:hAnsi="仿宋_GB2312" w:eastAsia="仿宋_GB2312" w:cs="仿宋_GB2312"/>
                <w:color w:val="auto"/>
                <w:kern w:val="2"/>
                <w:sz w:val="21"/>
                <w:szCs w:val="21"/>
                <w:highlight w:val="none"/>
              </w:rPr>
              <w:t>水厂饮用水源地</w:t>
            </w:r>
          </w:p>
        </w:tc>
        <w:tc>
          <w:tcPr>
            <w:tcW w:w="342" w:type="pct"/>
            <w:tcBorders>
              <w:top w:val="single" w:color="auto" w:sz="4" w:space="0"/>
              <w:left w:val="single" w:color="auto" w:sz="4" w:space="0"/>
              <w:bottom w:val="single" w:color="auto" w:sz="4" w:space="0"/>
            </w:tcBorders>
            <w:shd w:val="clear" w:color="auto" w:fill="auto"/>
            <w:vAlign w:val="center"/>
          </w:tcPr>
          <w:p w14:paraId="5AD8D28D">
            <w:pPr>
              <w:pStyle w:val="10"/>
              <w:jc w:val="center"/>
              <w:rPr>
                <w:rFonts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河流型</w:t>
            </w:r>
          </w:p>
        </w:tc>
        <w:tc>
          <w:tcPr>
            <w:tcW w:w="548" w:type="pct"/>
            <w:tcBorders>
              <w:top w:val="single" w:color="auto" w:sz="4" w:space="0"/>
              <w:left w:val="single" w:color="auto" w:sz="4" w:space="0"/>
              <w:bottom w:val="single" w:color="auto" w:sz="4" w:space="0"/>
            </w:tcBorders>
            <w:shd w:val="clear" w:color="auto" w:fill="auto"/>
            <w:vAlign w:val="center"/>
          </w:tcPr>
          <w:p w14:paraId="4BCE28F0">
            <w:pPr>
              <w:spacing w:line="240" w:lineRule="auto"/>
              <w:ind w:firstLine="0" w:firstLineChars="0"/>
              <w:jc w:val="center"/>
              <w:rPr>
                <w:rFonts w:cs="仿宋_GB2312"/>
                <w:color w:val="auto"/>
                <w:sz w:val="21"/>
                <w:szCs w:val="21"/>
                <w:highlight w:val="none"/>
              </w:rPr>
            </w:pPr>
            <w:r>
              <w:rPr>
                <w:rFonts w:hint="eastAsia" w:cs="仿宋_GB2312"/>
                <w:color w:val="auto"/>
                <w:sz w:val="21"/>
                <w:szCs w:val="21"/>
                <w:highlight w:val="none"/>
              </w:rPr>
              <w:t>E115°48′1.93″</w:t>
            </w:r>
          </w:p>
          <w:p w14:paraId="70365170">
            <w:pPr>
              <w:spacing w:line="240" w:lineRule="auto"/>
              <w:ind w:firstLine="0" w:firstLineChars="0"/>
              <w:jc w:val="center"/>
              <w:rPr>
                <w:rFonts w:cs="仿宋_GB2312"/>
                <w:color w:val="auto"/>
                <w:sz w:val="21"/>
                <w:szCs w:val="21"/>
                <w:highlight w:val="none"/>
              </w:rPr>
            </w:pPr>
            <w:r>
              <w:rPr>
                <w:rFonts w:hint="eastAsia" w:cs="仿宋_GB2312"/>
                <w:color w:val="auto"/>
                <w:sz w:val="21"/>
                <w:szCs w:val="21"/>
                <w:highlight w:val="none"/>
              </w:rPr>
              <w:t>N28°</w:t>
            </w:r>
          </w:p>
          <w:p w14:paraId="59E9B833">
            <w:pPr>
              <w:spacing w:line="240" w:lineRule="auto"/>
              <w:ind w:firstLine="0" w:firstLineChars="0"/>
              <w:jc w:val="center"/>
              <w:rPr>
                <w:rFonts w:cs="仿宋_GB2312"/>
                <w:color w:val="auto"/>
                <w:sz w:val="21"/>
                <w:szCs w:val="21"/>
                <w:highlight w:val="none"/>
              </w:rPr>
            </w:pPr>
            <w:r>
              <w:rPr>
                <w:rFonts w:hint="eastAsia" w:cs="仿宋_GB2312"/>
                <w:color w:val="auto"/>
                <w:sz w:val="21"/>
                <w:szCs w:val="21"/>
                <w:highlight w:val="none"/>
              </w:rPr>
              <w:t>33′</w:t>
            </w:r>
          </w:p>
          <w:p w14:paraId="47442065">
            <w:pPr>
              <w:spacing w:line="240" w:lineRule="auto"/>
              <w:ind w:firstLine="0" w:firstLineChars="0"/>
              <w:jc w:val="center"/>
              <w:rPr>
                <w:rFonts w:cs="仿宋_GB2312"/>
                <w:color w:val="auto"/>
                <w:kern w:val="2"/>
                <w:sz w:val="21"/>
                <w:szCs w:val="21"/>
                <w:highlight w:val="none"/>
              </w:rPr>
            </w:pPr>
            <w:r>
              <w:rPr>
                <w:rFonts w:hint="eastAsia" w:cs="仿宋_GB2312"/>
                <w:color w:val="auto"/>
                <w:sz w:val="21"/>
                <w:szCs w:val="21"/>
                <w:highlight w:val="none"/>
              </w:rPr>
              <w:t>30.41″</w:t>
            </w:r>
          </w:p>
        </w:tc>
        <w:tc>
          <w:tcPr>
            <w:tcW w:w="952" w:type="pct"/>
            <w:tcBorders>
              <w:top w:val="single" w:color="auto" w:sz="4" w:space="0"/>
              <w:left w:val="single" w:color="auto" w:sz="4" w:space="0"/>
              <w:bottom w:val="single" w:color="auto" w:sz="4" w:space="0"/>
            </w:tcBorders>
            <w:shd w:val="clear" w:color="auto" w:fill="auto"/>
            <w:vAlign w:val="center"/>
          </w:tcPr>
          <w:p w14:paraId="37D8AA7F">
            <w:pPr>
              <w:spacing w:line="240" w:lineRule="auto"/>
              <w:ind w:firstLine="0" w:firstLineChars="0"/>
              <w:jc w:val="center"/>
              <w:rPr>
                <w:rFonts w:cs="仿宋_GB2312"/>
                <w:color w:val="auto"/>
                <w:kern w:val="2"/>
                <w:sz w:val="21"/>
                <w:szCs w:val="21"/>
                <w:highlight w:val="none"/>
              </w:rPr>
            </w:pPr>
            <w:r>
              <w:rPr>
                <w:rFonts w:hint="eastAsia" w:cs="仿宋_GB2312"/>
                <w:color w:val="auto"/>
                <w:sz w:val="21"/>
                <w:szCs w:val="21"/>
                <w:highlight w:val="none"/>
              </w:rPr>
              <w:t>长度为取水口上游880m（沙田铁路大桥），下游100m范围的河道水域，宽度为取水口侧水岸向水面延伸至取水口侧航道线边界。水域面积0.1462km</w:t>
            </w:r>
            <w:r>
              <w:rPr>
                <w:rFonts w:hint="eastAsia" w:cs="仿宋_GB2312"/>
                <w:color w:val="auto"/>
                <w:sz w:val="21"/>
                <w:szCs w:val="21"/>
                <w:highlight w:val="none"/>
                <w:vertAlign w:val="superscript"/>
              </w:rPr>
              <w:t>2</w:t>
            </w:r>
            <w:r>
              <w:rPr>
                <w:rFonts w:hint="eastAsia" w:cs="仿宋_GB2312"/>
                <w:color w:val="auto"/>
                <w:sz w:val="21"/>
                <w:szCs w:val="21"/>
                <w:highlight w:val="none"/>
              </w:rPr>
              <w:t>。</w:t>
            </w:r>
          </w:p>
        </w:tc>
        <w:tc>
          <w:tcPr>
            <w:tcW w:w="1014" w:type="pct"/>
            <w:tcBorders>
              <w:top w:val="single" w:color="auto" w:sz="4" w:space="0"/>
              <w:left w:val="single" w:color="auto" w:sz="4" w:space="0"/>
              <w:bottom w:val="single" w:color="auto" w:sz="4" w:space="0"/>
            </w:tcBorders>
            <w:shd w:val="clear" w:color="auto" w:fill="auto"/>
            <w:vAlign w:val="center"/>
          </w:tcPr>
          <w:p w14:paraId="37F7545D">
            <w:pPr>
              <w:spacing w:line="240" w:lineRule="auto"/>
              <w:ind w:firstLine="0" w:firstLineChars="0"/>
              <w:jc w:val="center"/>
              <w:rPr>
                <w:rFonts w:cs="仿宋_GB2312"/>
                <w:color w:val="auto"/>
                <w:kern w:val="2"/>
                <w:sz w:val="21"/>
                <w:szCs w:val="21"/>
                <w:highlight w:val="none"/>
              </w:rPr>
            </w:pPr>
            <w:r>
              <w:rPr>
                <w:rFonts w:hint="eastAsia" w:cs="仿宋_GB2312"/>
                <w:color w:val="auto"/>
                <w:sz w:val="21"/>
                <w:szCs w:val="21"/>
                <w:highlight w:val="none"/>
              </w:rPr>
              <w:t>陆域沿岸长度为相应的一级保护区水域长度，陆域宽度为陆域沿岸纵深至防洪堤为止，无防洪堤处陆域宽度为沿岸纵深50米。陆域面积</w:t>
            </w:r>
            <w:r>
              <w:rPr>
                <w:rFonts w:hint="eastAsia" w:cs="仿宋_GB2312"/>
                <w:color w:val="auto"/>
                <w:sz w:val="21"/>
                <w:szCs w:val="21"/>
                <w:highlight w:val="none"/>
                <w:lang w:val="en-US" w:eastAsia="zh-CN"/>
              </w:rPr>
              <w:t>0.0902</w:t>
            </w:r>
            <w:r>
              <w:rPr>
                <w:rFonts w:hint="eastAsia" w:cs="仿宋_GB2312"/>
                <w:color w:val="auto"/>
                <w:sz w:val="21"/>
                <w:szCs w:val="21"/>
                <w:highlight w:val="none"/>
              </w:rPr>
              <w:t>km</w:t>
            </w:r>
            <w:r>
              <w:rPr>
                <w:rFonts w:hint="eastAsia" w:cs="仿宋_GB2312"/>
                <w:color w:val="auto"/>
                <w:sz w:val="21"/>
                <w:szCs w:val="21"/>
                <w:highlight w:val="none"/>
                <w:vertAlign w:val="superscript"/>
              </w:rPr>
              <w:t>2</w:t>
            </w:r>
            <w:r>
              <w:rPr>
                <w:rFonts w:hint="eastAsia" w:cs="仿宋_GB2312"/>
                <w:color w:val="auto"/>
                <w:sz w:val="21"/>
                <w:szCs w:val="21"/>
                <w:highlight w:val="none"/>
              </w:rPr>
              <w:t>。</w:t>
            </w:r>
          </w:p>
        </w:tc>
        <w:tc>
          <w:tcPr>
            <w:tcW w:w="986" w:type="pct"/>
            <w:tcBorders>
              <w:top w:val="single" w:color="auto" w:sz="4" w:space="0"/>
              <w:left w:val="single" w:color="auto" w:sz="4" w:space="0"/>
              <w:bottom w:val="single" w:color="auto" w:sz="4" w:space="0"/>
            </w:tcBorders>
            <w:shd w:val="clear" w:color="auto" w:fill="auto"/>
            <w:vAlign w:val="center"/>
          </w:tcPr>
          <w:p w14:paraId="6D8BA408">
            <w:pPr>
              <w:spacing w:line="240" w:lineRule="auto"/>
              <w:ind w:firstLine="0" w:firstLineChars="0"/>
              <w:jc w:val="center"/>
              <w:rPr>
                <w:rFonts w:cs="仿宋_GB2312"/>
                <w:color w:val="auto"/>
                <w:kern w:val="2"/>
                <w:sz w:val="21"/>
                <w:szCs w:val="21"/>
                <w:highlight w:val="none"/>
              </w:rPr>
            </w:pPr>
            <w:r>
              <w:rPr>
                <w:rFonts w:hint="eastAsia" w:cs="仿宋_GB2312"/>
                <w:color w:val="auto"/>
                <w:sz w:val="21"/>
                <w:szCs w:val="21"/>
                <w:highlight w:val="none"/>
              </w:rPr>
              <w:t>长度为自一级保护区上游边界上溯2000m，自一级保护区下游边界下延200m，宽度为取水口侧水岸向水面延伸至取水口侧航道线边界。水域面积1.255</w:t>
            </w:r>
            <w:r>
              <w:rPr>
                <w:rFonts w:hint="eastAsia" w:cs="仿宋_GB2312"/>
                <w:color w:val="auto"/>
                <w:sz w:val="21"/>
                <w:szCs w:val="21"/>
                <w:highlight w:val="none"/>
                <w:lang w:val="en-US" w:eastAsia="zh-CN"/>
              </w:rPr>
              <w:t>1</w:t>
            </w:r>
            <w:r>
              <w:rPr>
                <w:rFonts w:hint="eastAsia" w:cs="仿宋_GB2312"/>
                <w:color w:val="auto"/>
                <w:sz w:val="21"/>
                <w:szCs w:val="21"/>
                <w:highlight w:val="none"/>
              </w:rPr>
              <w:t>km</w:t>
            </w:r>
            <w:r>
              <w:rPr>
                <w:rFonts w:hint="eastAsia" w:cs="仿宋_GB2312"/>
                <w:color w:val="auto"/>
                <w:sz w:val="21"/>
                <w:szCs w:val="21"/>
                <w:highlight w:val="none"/>
                <w:vertAlign w:val="superscript"/>
              </w:rPr>
              <w:t>2</w:t>
            </w:r>
            <w:r>
              <w:rPr>
                <w:rFonts w:hint="eastAsia" w:cs="仿宋_GB2312"/>
                <w:color w:val="auto"/>
                <w:sz w:val="21"/>
                <w:szCs w:val="21"/>
                <w:highlight w:val="none"/>
              </w:rPr>
              <w:t>。</w:t>
            </w:r>
          </w:p>
        </w:tc>
        <w:tc>
          <w:tcPr>
            <w:tcW w:w="803" w:type="pct"/>
            <w:tcBorders>
              <w:top w:val="single" w:color="auto" w:sz="4" w:space="0"/>
              <w:left w:val="single" w:color="auto" w:sz="4" w:space="0"/>
              <w:bottom w:val="single" w:color="auto" w:sz="4" w:space="0"/>
              <w:right w:val="single" w:color="auto" w:sz="4" w:space="0"/>
            </w:tcBorders>
            <w:shd w:val="clear" w:color="auto" w:fill="auto"/>
            <w:vAlign w:val="center"/>
          </w:tcPr>
          <w:p w14:paraId="7231ED5F">
            <w:pPr>
              <w:spacing w:line="240" w:lineRule="auto"/>
              <w:ind w:firstLine="0" w:firstLineChars="0"/>
              <w:jc w:val="center"/>
              <w:rPr>
                <w:rFonts w:cs="仿宋_GB2312"/>
                <w:color w:val="auto"/>
                <w:kern w:val="2"/>
                <w:sz w:val="21"/>
                <w:szCs w:val="21"/>
                <w:highlight w:val="none"/>
              </w:rPr>
            </w:pPr>
            <w:r>
              <w:rPr>
                <w:rFonts w:hint="eastAsia" w:cs="仿宋_GB2312"/>
                <w:color w:val="auto"/>
                <w:sz w:val="21"/>
                <w:szCs w:val="21"/>
                <w:highlight w:val="none"/>
              </w:rPr>
              <w:t>长度与二级保护区水域等长，宽度为取水口侧至曾港村及湖村东面的树林东侧。陆域面积</w:t>
            </w:r>
            <w:r>
              <w:rPr>
                <w:rFonts w:hint="eastAsia" w:cs="仿宋_GB2312"/>
                <w:color w:val="auto"/>
                <w:sz w:val="21"/>
                <w:szCs w:val="21"/>
                <w:highlight w:val="none"/>
                <w:lang w:val="en-US" w:eastAsia="zh-CN"/>
              </w:rPr>
              <w:t>0.9109</w:t>
            </w:r>
            <w:r>
              <w:rPr>
                <w:rFonts w:hint="eastAsia" w:cs="仿宋_GB2312"/>
                <w:color w:val="auto"/>
                <w:sz w:val="21"/>
                <w:szCs w:val="21"/>
                <w:highlight w:val="none"/>
              </w:rPr>
              <w:t>km</w:t>
            </w:r>
            <w:r>
              <w:rPr>
                <w:rFonts w:hint="eastAsia" w:cs="仿宋_GB2312"/>
                <w:color w:val="auto"/>
                <w:sz w:val="21"/>
                <w:szCs w:val="21"/>
                <w:highlight w:val="none"/>
                <w:vertAlign w:val="superscript"/>
              </w:rPr>
              <w:t>2</w:t>
            </w:r>
            <w:r>
              <w:rPr>
                <w:rFonts w:hint="eastAsia" w:cs="仿宋_GB2312"/>
                <w:color w:val="auto"/>
                <w:sz w:val="21"/>
                <w:szCs w:val="21"/>
                <w:highlight w:val="none"/>
              </w:rPr>
              <w:t>。</w:t>
            </w:r>
          </w:p>
        </w:tc>
      </w:tr>
    </w:tbl>
    <w:p w14:paraId="7450BE1D">
      <w:pPr>
        <w:rPr>
          <w:rFonts w:hint="eastAsia"/>
          <w:color w:val="auto"/>
          <w:highlight w:val="none"/>
          <w:lang w:val="en-US" w:eastAsia="zh-CN"/>
        </w:rPr>
      </w:pPr>
      <w:r>
        <w:rPr>
          <w:rFonts w:hint="eastAsia"/>
          <w:color w:val="auto"/>
          <w:highlight w:val="none"/>
          <w:lang w:val="en-US" w:eastAsia="zh-CN"/>
        </w:rPr>
        <w:br w:type="page"/>
      </w:r>
    </w:p>
    <w:p w14:paraId="2BA37B30">
      <w:pPr>
        <w:pStyle w:val="4"/>
        <w:bidi w:val="0"/>
        <w:rPr>
          <w:rFonts w:hint="eastAsia"/>
          <w:color w:val="auto"/>
          <w:highlight w:val="none"/>
          <w:lang w:val="en-US" w:eastAsia="zh-CN"/>
        </w:rPr>
      </w:pPr>
      <w:r>
        <w:rPr>
          <w:rFonts w:hint="eastAsia"/>
          <w:color w:val="auto"/>
          <w:highlight w:val="none"/>
          <w:lang w:val="en-US" w:eastAsia="zh-CN"/>
        </w:rPr>
        <w:t>5.1.5</w:t>
      </w:r>
      <w:r>
        <w:rPr>
          <w:color w:val="auto"/>
          <w:highlight w:val="none"/>
        </w:rPr>
        <w:t>禁养区划定</w:t>
      </w:r>
      <w:r>
        <w:rPr>
          <w:rFonts w:hint="eastAsia"/>
          <w:color w:val="auto"/>
          <w:highlight w:val="none"/>
          <w:lang w:val="en-US" w:eastAsia="zh-CN"/>
        </w:rPr>
        <w:t>结果</w:t>
      </w:r>
    </w:p>
    <w:p w14:paraId="78159543">
      <w:pPr>
        <w:ind w:firstLine="560"/>
        <w:rPr>
          <w:rFonts w:hint="eastAsia"/>
          <w:color w:val="auto"/>
          <w:sz w:val="28"/>
          <w:szCs w:val="21"/>
          <w:highlight w:val="none"/>
          <w:lang w:eastAsia="zh-CN"/>
        </w:rPr>
      </w:pPr>
      <w:r>
        <w:rPr>
          <w:rFonts w:hint="eastAsia"/>
          <w:color w:val="auto"/>
          <w:sz w:val="28"/>
          <w:szCs w:val="21"/>
          <w:highlight w:val="none"/>
        </w:rPr>
        <w:t>根据江西省生态环境厅、江西省农业农村厅发布的《关于在全省开展进一步规范畜禽养殖禁养区划定和管理，促进生猪生产发展排查整治工作的通知》文件及相关法律法规要求</w:t>
      </w:r>
      <w:r>
        <w:rPr>
          <w:rFonts w:hint="eastAsia"/>
          <w:color w:val="auto"/>
          <w:sz w:val="28"/>
          <w:szCs w:val="21"/>
          <w:highlight w:val="none"/>
          <w:lang w:eastAsia="zh-CN"/>
        </w:rPr>
        <w:t>。</w:t>
      </w:r>
    </w:p>
    <w:p w14:paraId="74A92AD0">
      <w:pPr>
        <w:ind w:firstLine="560"/>
        <w:rPr>
          <w:color w:val="auto"/>
          <w:sz w:val="28"/>
          <w:szCs w:val="21"/>
          <w:highlight w:val="none"/>
        </w:rPr>
      </w:pPr>
      <w:r>
        <w:rPr>
          <w:rFonts w:hint="eastAsia"/>
          <w:color w:val="auto"/>
          <w:sz w:val="28"/>
          <w:szCs w:val="21"/>
          <w:highlight w:val="none"/>
        </w:rPr>
        <w:t>本次禁养区划定情况如下表</w:t>
      </w:r>
      <w:r>
        <w:rPr>
          <w:rFonts w:hint="eastAsia"/>
          <w:color w:val="auto"/>
          <w:sz w:val="28"/>
          <w:szCs w:val="21"/>
          <w:highlight w:val="none"/>
          <w:lang w:val="en-US" w:eastAsia="zh-CN"/>
        </w:rPr>
        <w:t>，具体边界以矢量图件为准</w:t>
      </w:r>
      <w:r>
        <w:rPr>
          <w:rFonts w:hint="eastAsia"/>
          <w:color w:val="auto"/>
          <w:sz w:val="28"/>
          <w:szCs w:val="21"/>
          <w:highlight w:val="none"/>
        </w:rPr>
        <w:t>。</w:t>
      </w:r>
    </w:p>
    <w:p w14:paraId="36C69015">
      <w:pPr>
        <w:ind w:firstLine="562"/>
        <w:jc w:val="center"/>
        <w:rPr>
          <w:b/>
          <w:color w:val="auto"/>
          <w:sz w:val="28"/>
          <w:highlight w:val="none"/>
        </w:rPr>
      </w:pPr>
      <w:r>
        <w:rPr>
          <w:rFonts w:hint="eastAsia"/>
          <w:b/>
          <w:color w:val="auto"/>
          <w:sz w:val="28"/>
          <w:highlight w:val="none"/>
        </w:rPr>
        <w:t>表</w:t>
      </w:r>
      <w:r>
        <w:rPr>
          <w:rFonts w:hint="eastAsia"/>
          <w:b/>
          <w:color w:val="auto"/>
          <w:sz w:val="28"/>
          <w:highlight w:val="none"/>
          <w:lang w:val="en-US" w:eastAsia="zh-CN"/>
        </w:rPr>
        <w:t>5</w:t>
      </w:r>
      <w:r>
        <w:rPr>
          <w:rFonts w:hint="eastAsia"/>
          <w:b/>
          <w:color w:val="auto"/>
          <w:sz w:val="28"/>
          <w:highlight w:val="none"/>
        </w:rPr>
        <w:t>.</w:t>
      </w:r>
      <w:r>
        <w:rPr>
          <w:rFonts w:hint="eastAsia"/>
          <w:b/>
          <w:color w:val="auto"/>
          <w:sz w:val="28"/>
          <w:highlight w:val="none"/>
          <w:lang w:val="en-US" w:eastAsia="zh-CN"/>
        </w:rPr>
        <w:t>1-6</w:t>
      </w:r>
      <w:r>
        <w:rPr>
          <w:rFonts w:hint="eastAsia"/>
          <w:b/>
          <w:color w:val="auto"/>
          <w:sz w:val="28"/>
          <w:highlight w:val="none"/>
        </w:rPr>
        <w:t xml:space="preserve">  </w:t>
      </w:r>
      <w:r>
        <w:rPr>
          <w:rFonts w:hint="eastAsia"/>
          <w:b/>
          <w:color w:val="auto"/>
          <w:sz w:val="28"/>
          <w:highlight w:val="none"/>
          <w:lang w:val="en-US" w:eastAsia="zh-CN"/>
        </w:rPr>
        <w:t>饮用水水源保护区</w:t>
      </w:r>
      <w:r>
        <w:rPr>
          <w:rFonts w:hint="eastAsia"/>
          <w:b/>
          <w:color w:val="auto"/>
          <w:sz w:val="28"/>
          <w:highlight w:val="none"/>
        </w:rPr>
        <w:t>禁养区划定情况一览表</w:t>
      </w:r>
    </w:p>
    <w:tbl>
      <w:tblPr>
        <w:tblStyle w:val="8"/>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98"/>
        <w:gridCol w:w="2014"/>
        <w:gridCol w:w="2885"/>
        <w:gridCol w:w="2585"/>
      </w:tblGrid>
      <w:tr w14:paraId="50B2CA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0" w:type="auto"/>
            <w:vAlign w:val="center"/>
          </w:tcPr>
          <w:p w14:paraId="0FB4B68A">
            <w:pPr>
              <w:spacing w:line="240" w:lineRule="auto"/>
              <w:ind w:firstLine="0" w:firstLineChars="0"/>
              <w:jc w:val="center"/>
              <w:rPr>
                <w:rFonts w:cs="仿宋_GB2312"/>
                <w:b/>
                <w:color w:val="auto"/>
                <w:sz w:val="24"/>
                <w:szCs w:val="24"/>
                <w:highlight w:val="none"/>
              </w:rPr>
            </w:pPr>
            <w:r>
              <w:rPr>
                <w:rFonts w:hint="eastAsia" w:cs="仿宋_GB2312"/>
                <w:b/>
                <w:color w:val="auto"/>
                <w:sz w:val="24"/>
                <w:szCs w:val="24"/>
                <w:highlight w:val="none"/>
              </w:rPr>
              <w:t>序号</w:t>
            </w:r>
          </w:p>
        </w:tc>
        <w:tc>
          <w:tcPr>
            <w:tcW w:w="2014" w:type="dxa"/>
            <w:vAlign w:val="center"/>
          </w:tcPr>
          <w:p w14:paraId="31089796">
            <w:pPr>
              <w:spacing w:line="240" w:lineRule="auto"/>
              <w:ind w:firstLine="0" w:firstLineChars="0"/>
              <w:jc w:val="center"/>
              <w:rPr>
                <w:rFonts w:cs="仿宋_GB2312"/>
                <w:b/>
                <w:color w:val="auto"/>
                <w:sz w:val="24"/>
                <w:szCs w:val="24"/>
                <w:highlight w:val="none"/>
              </w:rPr>
            </w:pPr>
            <w:r>
              <w:rPr>
                <w:rFonts w:hint="eastAsia" w:cs="仿宋_GB2312"/>
                <w:b/>
                <w:color w:val="auto"/>
                <w:sz w:val="24"/>
                <w:szCs w:val="24"/>
                <w:highlight w:val="none"/>
              </w:rPr>
              <w:t>名称</w:t>
            </w:r>
          </w:p>
        </w:tc>
        <w:tc>
          <w:tcPr>
            <w:tcW w:w="2885" w:type="dxa"/>
            <w:tcBorders>
              <w:bottom w:val="single" w:color="auto" w:sz="12" w:space="0"/>
            </w:tcBorders>
            <w:vAlign w:val="center"/>
          </w:tcPr>
          <w:p w14:paraId="00373A85">
            <w:pPr>
              <w:spacing w:line="240" w:lineRule="auto"/>
              <w:ind w:firstLine="0" w:firstLineChars="0"/>
              <w:jc w:val="center"/>
              <w:rPr>
                <w:rFonts w:cs="仿宋_GB2312"/>
                <w:b/>
                <w:color w:val="auto"/>
                <w:sz w:val="24"/>
                <w:szCs w:val="24"/>
                <w:highlight w:val="none"/>
              </w:rPr>
            </w:pPr>
            <w:r>
              <w:rPr>
                <w:rFonts w:hint="eastAsia" w:cs="仿宋_GB2312"/>
                <w:b/>
                <w:color w:val="auto"/>
                <w:sz w:val="24"/>
                <w:szCs w:val="24"/>
                <w:highlight w:val="none"/>
              </w:rPr>
              <w:t>禁养区范围</w:t>
            </w:r>
          </w:p>
        </w:tc>
        <w:tc>
          <w:tcPr>
            <w:tcW w:w="2585" w:type="dxa"/>
            <w:vAlign w:val="center"/>
          </w:tcPr>
          <w:p w14:paraId="29212A25">
            <w:pPr>
              <w:spacing w:line="240" w:lineRule="auto"/>
              <w:ind w:firstLine="0" w:firstLineChars="0"/>
              <w:jc w:val="center"/>
              <w:rPr>
                <w:rFonts w:cs="仿宋_GB2312"/>
                <w:b/>
                <w:color w:val="auto"/>
                <w:sz w:val="24"/>
                <w:szCs w:val="24"/>
                <w:highlight w:val="none"/>
              </w:rPr>
            </w:pPr>
            <w:r>
              <w:rPr>
                <w:rFonts w:hint="eastAsia" w:cs="仿宋_GB2312"/>
                <w:b/>
                <w:color w:val="auto"/>
                <w:sz w:val="24"/>
                <w:szCs w:val="24"/>
                <w:highlight w:val="none"/>
              </w:rPr>
              <w:t>依据</w:t>
            </w:r>
          </w:p>
        </w:tc>
      </w:tr>
      <w:tr w14:paraId="0D0830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single" w:color="auto" w:sz="12" w:space="0"/>
              <w:bottom w:val="single" w:color="auto" w:sz="4" w:space="0"/>
            </w:tcBorders>
            <w:vAlign w:val="center"/>
          </w:tcPr>
          <w:p w14:paraId="583CF179">
            <w:pPr>
              <w:spacing w:line="240" w:lineRule="auto"/>
              <w:ind w:firstLine="0" w:firstLineChars="0"/>
              <w:jc w:val="center"/>
              <w:rPr>
                <w:rFonts w:cs="仿宋_GB2312"/>
                <w:color w:val="auto"/>
                <w:sz w:val="24"/>
                <w:szCs w:val="24"/>
                <w:highlight w:val="none"/>
              </w:rPr>
            </w:pPr>
            <w:r>
              <w:rPr>
                <w:rFonts w:hint="eastAsia" w:cs="仿宋_GB2312"/>
                <w:color w:val="auto"/>
                <w:sz w:val="24"/>
                <w:szCs w:val="24"/>
                <w:highlight w:val="none"/>
              </w:rPr>
              <w:t>1</w:t>
            </w:r>
          </w:p>
        </w:tc>
        <w:tc>
          <w:tcPr>
            <w:tcW w:w="2014" w:type="dxa"/>
            <w:tcBorders>
              <w:top w:val="single" w:color="auto" w:sz="12" w:space="0"/>
              <w:bottom w:val="single" w:color="auto" w:sz="4" w:space="0"/>
            </w:tcBorders>
            <w:vAlign w:val="center"/>
          </w:tcPr>
          <w:p w14:paraId="4E2001A6">
            <w:pPr>
              <w:spacing w:line="240" w:lineRule="auto"/>
              <w:ind w:firstLine="0" w:firstLineChars="0"/>
              <w:jc w:val="center"/>
              <w:rPr>
                <w:rFonts w:cs="仿宋_GB2312"/>
                <w:b/>
                <w:color w:val="auto"/>
                <w:sz w:val="24"/>
                <w:szCs w:val="24"/>
                <w:highlight w:val="none"/>
              </w:rPr>
            </w:pPr>
            <w:r>
              <w:rPr>
                <w:rFonts w:hint="eastAsia" w:cs="仿宋_GB2312"/>
                <w:color w:val="auto"/>
                <w:sz w:val="24"/>
                <w:szCs w:val="24"/>
                <w:highlight w:val="none"/>
              </w:rPr>
              <w:t>双港水厂饮用水源地保护区</w:t>
            </w:r>
          </w:p>
        </w:tc>
        <w:tc>
          <w:tcPr>
            <w:tcW w:w="2885" w:type="dxa"/>
            <w:vMerge w:val="restart"/>
            <w:tcBorders>
              <w:top w:val="single" w:color="auto" w:sz="12" w:space="0"/>
            </w:tcBorders>
            <w:vAlign w:val="center"/>
          </w:tcPr>
          <w:p w14:paraId="17564B13">
            <w:pPr>
              <w:spacing w:line="240" w:lineRule="auto"/>
              <w:ind w:firstLine="0" w:firstLineChars="0"/>
              <w:rPr>
                <w:rFonts w:cs="仿宋_GB2312"/>
                <w:color w:val="auto"/>
                <w:sz w:val="24"/>
                <w:szCs w:val="24"/>
                <w:highlight w:val="none"/>
              </w:rPr>
            </w:pPr>
            <w:r>
              <w:rPr>
                <w:rFonts w:hint="eastAsia" w:cs="仿宋_GB2312"/>
                <w:color w:val="auto"/>
                <w:sz w:val="24"/>
                <w:szCs w:val="24"/>
                <w:highlight w:val="none"/>
              </w:rPr>
              <w:t>包括</w:t>
            </w:r>
            <w:r>
              <w:rPr>
                <w:rFonts w:hint="eastAsia" w:cs="仿宋_GB2312"/>
                <w:color w:val="auto"/>
                <w:sz w:val="24"/>
                <w:szCs w:val="24"/>
                <w:highlight w:val="none"/>
                <w:lang w:val="en-US" w:eastAsia="zh-CN"/>
              </w:rPr>
              <w:t>红谷滩区范围内</w:t>
            </w:r>
            <w:r>
              <w:rPr>
                <w:rFonts w:hint="eastAsia" w:cs="仿宋_GB2312"/>
                <w:color w:val="auto"/>
                <w:sz w:val="24"/>
                <w:szCs w:val="24"/>
                <w:highlight w:val="none"/>
              </w:rPr>
              <w:t>一级保护区和二级保护区范围：</w:t>
            </w:r>
          </w:p>
          <w:p w14:paraId="40922C6B">
            <w:pPr>
              <w:spacing w:line="240" w:lineRule="auto"/>
              <w:ind w:firstLine="0" w:firstLineChars="0"/>
              <w:rPr>
                <w:rFonts w:cs="仿宋_GB2312"/>
                <w:color w:val="auto"/>
                <w:sz w:val="24"/>
                <w:szCs w:val="24"/>
                <w:highlight w:val="none"/>
              </w:rPr>
            </w:pPr>
            <w:r>
              <w:rPr>
                <w:rFonts w:hint="eastAsia" w:cs="仿宋_GB2312"/>
                <w:color w:val="auto"/>
                <w:sz w:val="24"/>
                <w:szCs w:val="24"/>
                <w:highlight w:val="none"/>
              </w:rPr>
              <w:t>总面积为：0.</w:t>
            </w:r>
            <w:r>
              <w:rPr>
                <w:rFonts w:hint="eastAsia" w:cs="仿宋_GB2312"/>
                <w:color w:val="auto"/>
                <w:sz w:val="24"/>
                <w:szCs w:val="24"/>
                <w:highlight w:val="none"/>
                <w:lang w:val="en-US" w:eastAsia="zh-CN"/>
              </w:rPr>
              <w:t>476</w:t>
            </w:r>
            <w:r>
              <w:rPr>
                <w:rFonts w:hint="eastAsia" w:cs="仿宋_GB2312"/>
                <w:color w:val="auto"/>
                <w:sz w:val="24"/>
                <w:szCs w:val="24"/>
                <w:highlight w:val="none"/>
              </w:rPr>
              <w:t>km</w:t>
            </w:r>
            <w:r>
              <w:rPr>
                <w:rFonts w:hint="eastAsia" w:cs="仿宋_GB2312"/>
                <w:color w:val="auto"/>
                <w:sz w:val="24"/>
                <w:szCs w:val="24"/>
                <w:highlight w:val="none"/>
                <w:vertAlign w:val="superscript"/>
              </w:rPr>
              <w:t>2</w:t>
            </w:r>
            <w:r>
              <w:rPr>
                <w:rFonts w:hint="eastAsia" w:cs="仿宋_GB2312"/>
                <w:color w:val="auto"/>
                <w:sz w:val="24"/>
                <w:szCs w:val="24"/>
                <w:highlight w:val="none"/>
              </w:rPr>
              <w:t>。</w:t>
            </w:r>
          </w:p>
        </w:tc>
        <w:tc>
          <w:tcPr>
            <w:tcW w:w="2585" w:type="dxa"/>
            <w:vMerge w:val="restart"/>
            <w:tcBorders>
              <w:top w:val="single" w:color="auto" w:sz="12" w:space="0"/>
            </w:tcBorders>
            <w:vAlign w:val="center"/>
          </w:tcPr>
          <w:p w14:paraId="08F9B6C3">
            <w:pPr>
              <w:spacing w:line="240" w:lineRule="auto"/>
              <w:ind w:firstLine="0" w:firstLineChars="0"/>
              <w:rPr>
                <w:rFonts w:cs="仿宋_GB2312"/>
                <w:color w:val="auto"/>
                <w:sz w:val="24"/>
                <w:szCs w:val="24"/>
                <w:highlight w:val="none"/>
              </w:rPr>
            </w:pPr>
            <w:r>
              <w:rPr>
                <w:rFonts w:hint="eastAsia" w:cs="仿宋_GB2312"/>
                <w:color w:val="auto"/>
                <w:sz w:val="24"/>
                <w:szCs w:val="24"/>
                <w:highlight w:val="none"/>
              </w:rPr>
              <w:t>《畜禽养殖禁养区划定技术指南》、《集中式饮用水水源地规范化建设环境保护技术要求》（HJ773-2015)、《饮用水水源保护区划分技术规范》（HJ338-2018）</w:t>
            </w:r>
          </w:p>
        </w:tc>
      </w:tr>
      <w:tr w14:paraId="2D6748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single" w:color="auto" w:sz="4" w:space="0"/>
              <w:bottom w:val="single" w:color="auto" w:sz="4" w:space="0"/>
            </w:tcBorders>
            <w:vAlign w:val="center"/>
          </w:tcPr>
          <w:p w14:paraId="7FDDB5B2">
            <w:pPr>
              <w:spacing w:line="240" w:lineRule="auto"/>
              <w:ind w:firstLine="0" w:firstLineChars="0"/>
              <w:jc w:val="center"/>
              <w:rPr>
                <w:rFonts w:cs="仿宋_GB2312"/>
                <w:color w:val="auto"/>
                <w:sz w:val="24"/>
                <w:szCs w:val="24"/>
                <w:highlight w:val="none"/>
              </w:rPr>
            </w:pPr>
            <w:r>
              <w:rPr>
                <w:rFonts w:hint="eastAsia" w:cs="仿宋_GB2312"/>
                <w:color w:val="auto"/>
                <w:sz w:val="24"/>
                <w:szCs w:val="24"/>
                <w:highlight w:val="none"/>
              </w:rPr>
              <w:t>2</w:t>
            </w:r>
          </w:p>
        </w:tc>
        <w:tc>
          <w:tcPr>
            <w:tcW w:w="2014" w:type="dxa"/>
            <w:tcBorders>
              <w:top w:val="single" w:color="auto" w:sz="4" w:space="0"/>
              <w:bottom w:val="single" w:color="auto" w:sz="4" w:space="0"/>
            </w:tcBorders>
            <w:vAlign w:val="center"/>
          </w:tcPr>
          <w:p w14:paraId="37E24F16">
            <w:pPr>
              <w:spacing w:line="240" w:lineRule="auto"/>
              <w:ind w:firstLine="0" w:firstLineChars="0"/>
              <w:jc w:val="center"/>
              <w:rPr>
                <w:rFonts w:cs="仿宋_GB2312"/>
                <w:color w:val="auto"/>
                <w:sz w:val="24"/>
                <w:szCs w:val="24"/>
                <w:highlight w:val="none"/>
              </w:rPr>
            </w:pPr>
            <w:r>
              <w:rPr>
                <w:rFonts w:hint="eastAsia" w:cs="仿宋_GB2312"/>
                <w:color w:val="auto"/>
                <w:sz w:val="24"/>
                <w:szCs w:val="24"/>
                <w:highlight w:val="none"/>
              </w:rPr>
              <w:t>城北水厂饮用水源地保护区</w:t>
            </w:r>
          </w:p>
        </w:tc>
        <w:tc>
          <w:tcPr>
            <w:tcW w:w="2885" w:type="dxa"/>
            <w:vMerge w:val="continue"/>
            <w:tcBorders>
              <w:bottom w:val="single" w:color="auto" w:sz="4" w:space="0"/>
            </w:tcBorders>
            <w:vAlign w:val="center"/>
          </w:tcPr>
          <w:p w14:paraId="44153912">
            <w:pPr>
              <w:spacing w:line="240" w:lineRule="auto"/>
              <w:ind w:firstLine="0" w:firstLineChars="0"/>
              <w:rPr>
                <w:rFonts w:cs="仿宋_GB2312"/>
                <w:color w:val="auto"/>
                <w:sz w:val="24"/>
                <w:szCs w:val="24"/>
                <w:highlight w:val="none"/>
              </w:rPr>
            </w:pPr>
          </w:p>
        </w:tc>
        <w:tc>
          <w:tcPr>
            <w:tcW w:w="2585" w:type="dxa"/>
            <w:vMerge w:val="continue"/>
            <w:vAlign w:val="center"/>
          </w:tcPr>
          <w:p w14:paraId="0AFAAB9C">
            <w:pPr>
              <w:spacing w:line="240" w:lineRule="auto"/>
              <w:ind w:firstLine="0" w:firstLineChars="0"/>
              <w:rPr>
                <w:rFonts w:cs="仿宋_GB2312"/>
                <w:color w:val="auto"/>
                <w:sz w:val="24"/>
                <w:szCs w:val="24"/>
                <w:highlight w:val="none"/>
              </w:rPr>
            </w:pPr>
          </w:p>
        </w:tc>
      </w:tr>
      <w:tr w14:paraId="2CB35C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single" w:color="auto" w:sz="4" w:space="0"/>
              <w:bottom w:val="single" w:color="auto" w:sz="4" w:space="0"/>
            </w:tcBorders>
            <w:vAlign w:val="center"/>
          </w:tcPr>
          <w:p w14:paraId="2CFDEEE9">
            <w:pPr>
              <w:spacing w:line="240" w:lineRule="auto"/>
              <w:ind w:firstLine="0" w:firstLineChars="0"/>
              <w:jc w:val="center"/>
              <w:rPr>
                <w:rFonts w:cs="仿宋_GB2312"/>
                <w:color w:val="auto"/>
                <w:sz w:val="24"/>
                <w:szCs w:val="24"/>
                <w:highlight w:val="none"/>
              </w:rPr>
            </w:pPr>
            <w:r>
              <w:rPr>
                <w:rFonts w:hint="eastAsia" w:cs="仿宋_GB2312"/>
                <w:color w:val="auto"/>
                <w:sz w:val="24"/>
                <w:szCs w:val="24"/>
                <w:highlight w:val="none"/>
              </w:rPr>
              <w:t>3</w:t>
            </w:r>
          </w:p>
        </w:tc>
        <w:tc>
          <w:tcPr>
            <w:tcW w:w="2014" w:type="dxa"/>
            <w:tcBorders>
              <w:top w:val="single" w:color="auto" w:sz="4" w:space="0"/>
              <w:bottom w:val="single" w:color="auto" w:sz="4" w:space="0"/>
            </w:tcBorders>
            <w:vAlign w:val="center"/>
          </w:tcPr>
          <w:p w14:paraId="339381CA">
            <w:pPr>
              <w:spacing w:line="240" w:lineRule="auto"/>
              <w:ind w:firstLine="0" w:firstLineChars="0"/>
              <w:jc w:val="center"/>
              <w:rPr>
                <w:rFonts w:cs="仿宋_GB2312"/>
                <w:color w:val="auto"/>
                <w:sz w:val="24"/>
                <w:szCs w:val="24"/>
                <w:highlight w:val="none"/>
              </w:rPr>
            </w:pPr>
            <w:r>
              <w:rPr>
                <w:rFonts w:hint="eastAsia" w:cs="仿宋_GB2312"/>
                <w:color w:val="auto"/>
                <w:sz w:val="24"/>
                <w:szCs w:val="24"/>
                <w:highlight w:val="none"/>
              </w:rPr>
              <w:t>红角洲水厂饮用水源地保护区</w:t>
            </w:r>
          </w:p>
        </w:tc>
        <w:tc>
          <w:tcPr>
            <w:tcW w:w="2885" w:type="dxa"/>
            <w:vMerge w:val="restart"/>
            <w:tcBorders>
              <w:top w:val="single" w:color="auto" w:sz="4" w:space="0"/>
            </w:tcBorders>
            <w:vAlign w:val="center"/>
          </w:tcPr>
          <w:p w14:paraId="2EB7A997">
            <w:pPr>
              <w:spacing w:line="240" w:lineRule="auto"/>
              <w:ind w:firstLine="0" w:firstLineChars="0"/>
              <w:rPr>
                <w:rFonts w:cs="仿宋_GB2312"/>
                <w:color w:val="auto"/>
                <w:sz w:val="24"/>
                <w:szCs w:val="24"/>
                <w:highlight w:val="none"/>
              </w:rPr>
            </w:pPr>
            <w:r>
              <w:rPr>
                <w:rFonts w:hint="eastAsia" w:cs="仿宋_GB2312"/>
                <w:color w:val="auto"/>
                <w:sz w:val="24"/>
                <w:szCs w:val="24"/>
                <w:highlight w:val="none"/>
              </w:rPr>
              <w:t>包括</w:t>
            </w:r>
            <w:r>
              <w:rPr>
                <w:rFonts w:hint="eastAsia" w:cs="仿宋_GB2312"/>
                <w:color w:val="auto"/>
                <w:sz w:val="24"/>
                <w:szCs w:val="24"/>
                <w:highlight w:val="none"/>
                <w:lang w:val="en-US" w:eastAsia="zh-CN"/>
              </w:rPr>
              <w:t>红谷滩区范围内</w:t>
            </w:r>
            <w:r>
              <w:rPr>
                <w:rFonts w:hint="eastAsia" w:cs="仿宋_GB2312"/>
                <w:color w:val="auto"/>
                <w:sz w:val="24"/>
                <w:szCs w:val="24"/>
                <w:highlight w:val="none"/>
              </w:rPr>
              <w:t>一级保护区和二级保护区范围：</w:t>
            </w:r>
          </w:p>
          <w:p w14:paraId="227F95CA">
            <w:pPr>
              <w:spacing w:line="240" w:lineRule="auto"/>
              <w:ind w:firstLine="0" w:firstLineChars="0"/>
              <w:rPr>
                <w:rFonts w:cs="仿宋_GB2312"/>
                <w:color w:val="auto"/>
                <w:sz w:val="24"/>
                <w:szCs w:val="24"/>
                <w:highlight w:val="none"/>
              </w:rPr>
            </w:pPr>
            <w:r>
              <w:rPr>
                <w:rFonts w:hint="eastAsia" w:cs="仿宋_GB2312"/>
                <w:color w:val="auto"/>
                <w:sz w:val="24"/>
                <w:szCs w:val="24"/>
                <w:highlight w:val="none"/>
              </w:rPr>
              <w:t>总面积为：</w:t>
            </w:r>
            <w:r>
              <w:rPr>
                <w:rFonts w:hint="eastAsia" w:cs="仿宋_GB2312"/>
                <w:color w:val="auto"/>
                <w:sz w:val="24"/>
                <w:szCs w:val="24"/>
                <w:highlight w:val="none"/>
                <w:lang w:val="en-US" w:eastAsia="zh-CN"/>
              </w:rPr>
              <w:t>11.543</w:t>
            </w:r>
            <w:r>
              <w:rPr>
                <w:rFonts w:hint="eastAsia" w:cs="仿宋_GB2312"/>
                <w:color w:val="auto"/>
                <w:sz w:val="24"/>
                <w:szCs w:val="24"/>
                <w:highlight w:val="none"/>
              </w:rPr>
              <w:t>km</w:t>
            </w:r>
            <w:r>
              <w:rPr>
                <w:rFonts w:hint="eastAsia" w:cs="仿宋_GB2312"/>
                <w:color w:val="auto"/>
                <w:sz w:val="24"/>
                <w:szCs w:val="24"/>
                <w:highlight w:val="none"/>
                <w:vertAlign w:val="superscript"/>
              </w:rPr>
              <w:t>2</w:t>
            </w:r>
            <w:r>
              <w:rPr>
                <w:rFonts w:hint="eastAsia" w:cs="仿宋_GB2312"/>
                <w:color w:val="auto"/>
                <w:sz w:val="24"/>
                <w:szCs w:val="24"/>
                <w:highlight w:val="none"/>
              </w:rPr>
              <w:t>。</w:t>
            </w:r>
          </w:p>
        </w:tc>
        <w:tc>
          <w:tcPr>
            <w:tcW w:w="2585" w:type="dxa"/>
            <w:vMerge w:val="continue"/>
            <w:vAlign w:val="center"/>
          </w:tcPr>
          <w:p w14:paraId="74A1C79F">
            <w:pPr>
              <w:spacing w:line="240" w:lineRule="auto"/>
              <w:ind w:firstLine="0" w:firstLineChars="0"/>
              <w:rPr>
                <w:rFonts w:cs="仿宋_GB2312"/>
                <w:color w:val="auto"/>
                <w:sz w:val="24"/>
                <w:szCs w:val="24"/>
                <w:highlight w:val="none"/>
              </w:rPr>
            </w:pPr>
          </w:p>
        </w:tc>
      </w:tr>
      <w:tr w14:paraId="7809E3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single" w:color="auto" w:sz="4" w:space="0"/>
              <w:bottom w:val="single" w:color="auto" w:sz="4" w:space="0"/>
            </w:tcBorders>
            <w:vAlign w:val="center"/>
          </w:tcPr>
          <w:p w14:paraId="11916DAB">
            <w:pPr>
              <w:spacing w:line="240" w:lineRule="auto"/>
              <w:ind w:firstLine="0" w:firstLineChars="0"/>
              <w:jc w:val="center"/>
              <w:rPr>
                <w:rFonts w:cs="仿宋_GB2312"/>
                <w:color w:val="auto"/>
                <w:sz w:val="24"/>
                <w:szCs w:val="24"/>
                <w:highlight w:val="none"/>
              </w:rPr>
            </w:pPr>
            <w:r>
              <w:rPr>
                <w:rFonts w:hint="eastAsia" w:cs="仿宋_GB2312"/>
                <w:color w:val="auto"/>
                <w:sz w:val="24"/>
                <w:szCs w:val="24"/>
                <w:highlight w:val="none"/>
              </w:rPr>
              <w:t>4</w:t>
            </w:r>
          </w:p>
        </w:tc>
        <w:tc>
          <w:tcPr>
            <w:tcW w:w="2014" w:type="dxa"/>
            <w:tcBorders>
              <w:top w:val="single" w:color="auto" w:sz="4" w:space="0"/>
              <w:bottom w:val="single" w:color="auto" w:sz="4" w:space="0"/>
            </w:tcBorders>
            <w:vAlign w:val="center"/>
          </w:tcPr>
          <w:p w14:paraId="5D587417">
            <w:pPr>
              <w:spacing w:line="240" w:lineRule="auto"/>
              <w:ind w:firstLine="0" w:firstLineChars="0"/>
              <w:jc w:val="center"/>
              <w:rPr>
                <w:rFonts w:cs="仿宋_GB2312"/>
                <w:color w:val="auto"/>
                <w:sz w:val="24"/>
                <w:szCs w:val="24"/>
                <w:highlight w:val="none"/>
              </w:rPr>
            </w:pPr>
            <w:r>
              <w:rPr>
                <w:rFonts w:hint="eastAsia" w:cs="仿宋_GB2312"/>
                <w:color w:val="auto"/>
                <w:sz w:val="24"/>
                <w:szCs w:val="24"/>
                <w:highlight w:val="none"/>
              </w:rPr>
              <w:t>生米水厂饮用水源地保护区</w:t>
            </w:r>
          </w:p>
        </w:tc>
        <w:tc>
          <w:tcPr>
            <w:tcW w:w="2885" w:type="dxa"/>
            <w:vMerge w:val="continue"/>
            <w:vAlign w:val="center"/>
          </w:tcPr>
          <w:p w14:paraId="10782CA6">
            <w:pPr>
              <w:spacing w:line="240" w:lineRule="auto"/>
              <w:ind w:firstLine="0" w:firstLineChars="0"/>
              <w:rPr>
                <w:rFonts w:cs="仿宋_GB2312"/>
                <w:color w:val="auto"/>
                <w:sz w:val="24"/>
                <w:szCs w:val="24"/>
                <w:highlight w:val="none"/>
              </w:rPr>
            </w:pPr>
          </w:p>
        </w:tc>
        <w:tc>
          <w:tcPr>
            <w:tcW w:w="2585" w:type="dxa"/>
            <w:vMerge w:val="continue"/>
            <w:vAlign w:val="center"/>
          </w:tcPr>
          <w:p w14:paraId="143BA990">
            <w:pPr>
              <w:spacing w:line="240" w:lineRule="auto"/>
              <w:ind w:firstLine="0" w:firstLineChars="0"/>
              <w:rPr>
                <w:rFonts w:cs="仿宋_GB2312"/>
                <w:color w:val="auto"/>
                <w:sz w:val="24"/>
                <w:szCs w:val="24"/>
                <w:highlight w:val="none"/>
              </w:rPr>
            </w:pPr>
          </w:p>
        </w:tc>
      </w:tr>
      <w:tr w14:paraId="476D4B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single" w:color="auto" w:sz="4" w:space="0"/>
              <w:bottom w:val="single" w:color="auto" w:sz="4" w:space="0"/>
            </w:tcBorders>
            <w:vAlign w:val="center"/>
          </w:tcPr>
          <w:p w14:paraId="071214FE">
            <w:pPr>
              <w:spacing w:line="240" w:lineRule="auto"/>
              <w:ind w:firstLine="0" w:firstLineChars="0"/>
              <w:jc w:val="center"/>
              <w:rPr>
                <w:rFonts w:hint="eastAsia" w:eastAsia="仿宋_GB2312" w:cs="仿宋_GB2312"/>
                <w:color w:val="auto"/>
                <w:sz w:val="24"/>
                <w:szCs w:val="24"/>
                <w:highlight w:val="none"/>
                <w:lang w:val="en-US" w:eastAsia="zh-CN"/>
              </w:rPr>
            </w:pPr>
            <w:r>
              <w:rPr>
                <w:rFonts w:hint="eastAsia" w:cs="仿宋_GB2312"/>
                <w:color w:val="auto"/>
                <w:sz w:val="24"/>
                <w:szCs w:val="24"/>
                <w:highlight w:val="none"/>
                <w:lang w:val="en-US" w:eastAsia="zh-CN"/>
              </w:rPr>
              <w:t>5</w:t>
            </w:r>
          </w:p>
        </w:tc>
        <w:tc>
          <w:tcPr>
            <w:tcW w:w="2014" w:type="dxa"/>
            <w:tcBorders>
              <w:top w:val="single" w:color="auto" w:sz="4" w:space="0"/>
              <w:bottom w:val="single" w:color="auto" w:sz="4" w:space="0"/>
            </w:tcBorders>
            <w:vAlign w:val="center"/>
          </w:tcPr>
          <w:p w14:paraId="4469E765">
            <w:pPr>
              <w:spacing w:line="240" w:lineRule="auto"/>
              <w:ind w:firstLine="0" w:firstLineChars="0"/>
              <w:jc w:val="center"/>
              <w:rPr>
                <w:rFonts w:hint="default" w:eastAsia="仿宋_GB2312" w:cs="仿宋_GB2312"/>
                <w:color w:val="auto"/>
                <w:sz w:val="24"/>
                <w:szCs w:val="24"/>
                <w:highlight w:val="none"/>
                <w:lang w:val="en-US" w:eastAsia="zh-CN"/>
              </w:rPr>
            </w:pPr>
            <w:r>
              <w:rPr>
                <w:rFonts w:hint="eastAsia" w:cs="仿宋_GB2312"/>
                <w:color w:val="auto"/>
                <w:sz w:val="24"/>
                <w:szCs w:val="24"/>
                <w:highlight w:val="none"/>
                <w:lang w:val="en-US" w:eastAsia="zh-CN"/>
              </w:rPr>
              <w:t>昌南水厂</w:t>
            </w:r>
            <w:r>
              <w:rPr>
                <w:rFonts w:hint="eastAsia" w:cs="仿宋_GB2312"/>
                <w:color w:val="auto"/>
                <w:sz w:val="24"/>
                <w:szCs w:val="24"/>
                <w:highlight w:val="none"/>
              </w:rPr>
              <w:t>饮用水源地保护区</w:t>
            </w:r>
          </w:p>
        </w:tc>
        <w:tc>
          <w:tcPr>
            <w:tcW w:w="2885" w:type="dxa"/>
            <w:vMerge w:val="continue"/>
            <w:vAlign w:val="center"/>
          </w:tcPr>
          <w:p w14:paraId="734E4BC4">
            <w:pPr>
              <w:spacing w:line="240" w:lineRule="auto"/>
              <w:ind w:firstLine="0" w:firstLineChars="0"/>
              <w:rPr>
                <w:rFonts w:cs="仿宋_GB2312"/>
                <w:color w:val="auto"/>
                <w:sz w:val="24"/>
                <w:szCs w:val="24"/>
                <w:highlight w:val="none"/>
              </w:rPr>
            </w:pPr>
          </w:p>
        </w:tc>
        <w:tc>
          <w:tcPr>
            <w:tcW w:w="2585" w:type="dxa"/>
            <w:vMerge w:val="continue"/>
            <w:vAlign w:val="center"/>
          </w:tcPr>
          <w:p w14:paraId="7F4EBE2C">
            <w:pPr>
              <w:spacing w:line="240" w:lineRule="auto"/>
              <w:ind w:firstLine="0" w:firstLineChars="0"/>
              <w:rPr>
                <w:rFonts w:cs="仿宋_GB2312"/>
                <w:color w:val="auto"/>
                <w:sz w:val="24"/>
                <w:szCs w:val="24"/>
                <w:highlight w:val="none"/>
              </w:rPr>
            </w:pPr>
          </w:p>
        </w:tc>
      </w:tr>
      <w:tr w14:paraId="6CBBC4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182" w:type="dxa"/>
            <w:gridSpan w:val="4"/>
            <w:tcBorders>
              <w:top w:val="single" w:color="auto" w:sz="4" w:space="0"/>
            </w:tcBorders>
            <w:vAlign w:val="center"/>
          </w:tcPr>
          <w:p w14:paraId="324D31D4">
            <w:pPr>
              <w:spacing w:line="240" w:lineRule="auto"/>
              <w:ind w:firstLine="0" w:firstLineChars="0"/>
              <w:rPr>
                <w:rFonts w:hint="eastAsia" w:cs="仿宋_GB2312"/>
                <w:color w:val="auto"/>
                <w:sz w:val="21"/>
                <w:szCs w:val="21"/>
                <w:highlight w:val="none"/>
              </w:rPr>
            </w:pPr>
            <w:r>
              <w:rPr>
                <w:rFonts w:hint="eastAsia" w:cs="仿宋_GB2312"/>
                <w:color w:val="auto"/>
                <w:sz w:val="21"/>
                <w:szCs w:val="21"/>
                <w:highlight w:val="none"/>
              </w:rPr>
              <w:t>备注：1</w:t>
            </w:r>
            <w:r>
              <w:rPr>
                <w:rFonts w:hint="eastAsia" w:cs="仿宋_GB2312"/>
                <w:color w:val="auto"/>
                <w:sz w:val="21"/>
                <w:szCs w:val="21"/>
                <w:highlight w:val="none"/>
                <w:lang w:val="en-US" w:eastAsia="zh-CN"/>
              </w:rPr>
              <w:t>.</w:t>
            </w:r>
            <w:r>
              <w:rPr>
                <w:rFonts w:hint="eastAsia" w:cs="仿宋_GB2312"/>
                <w:color w:val="auto"/>
                <w:sz w:val="21"/>
                <w:szCs w:val="21"/>
                <w:highlight w:val="none"/>
              </w:rPr>
              <w:t>双港水厂和城北水厂取水口相邻，饮用水源地保护区基本重叠，禁养区面积合并计算。</w:t>
            </w:r>
            <w:r>
              <w:rPr>
                <w:rFonts w:hint="eastAsia" w:cs="仿宋_GB2312"/>
                <w:color w:val="auto"/>
                <w:sz w:val="21"/>
                <w:szCs w:val="21"/>
                <w:highlight w:val="none"/>
              </w:rPr>
              <w:br w:type="textWrapping"/>
            </w:r>
            <w:r>
              <w:rPr>
                <w:rFonts w:hint="eastAsia" w:cs="仿宋_GB2312"/>
                <w:color w:val="auto"/>
                <w:sz w:val="21"/>
                <w:szCs w:val="21"/>
                <w:highlight w:val="none"/>
              </w:rPr>
              <w:t>2</w:t>
            </w:r>
            <w:r>
              <w:rPr>
                <w:rFonts w:hint="eastAsia" w:cs="仿宋_GB2312"/>
                <w:color w:val="auto"/>
                <w:sz w:val="21"/>
                <w:szCs w:val="21"/>
                <w:highlight w:val="none"/>
                <w:lang w:val="en-US" w:eastAsia="zh-CN"/>
              </w:rPr>
              <w:t>.</w:t>
            </w:r>
            <w:r>
              <w:rPr>
                <w:rFonts w:hint="eastAsia" w:cs="仿宋_GB2312"/>
                <w:color w:val="auto"/>
                <w:sz w:val="21"/>
                <w:szCs w:val="21"/>
                <w:highlight w:val="none"/>
              </w:rPr>
              <w:t>红角洲水厂</w:t>
            </w:r>
            <w:r>
              <w:rPr>
                <w:rFonts w:hint="eastAsia" w:cs="仿宋_GB2312"/>
                <w:color w:val="auto"/>
                <w:sz w:val="21"/>
                <w:szCs w:val="21"/>
                <w:highlight w:val="none"/>
                <w:lang w:eastAsia="zh-CN"/>
              </w:rPr>
              <w:t>、</w:t>
            </w:r>
            <w:r>
              <w:rPr>
                <w:rFonts w:hint="eastAsia" w:cs="仿宋_GB2312"/>
                <w:color w:val="auto"/>
                <w:sz w:val="21"/>
                <w:szCs w:val="21"/>
                <w:highlight w:val="none"/>
                <w:lang w:val="en-US" w:eastAsia="zh-CN"/>
              </w:rPr>
              <w:t>昌南水厂</w:t>
            </w:r>
            <w:r>
              <w:rPr>
                <w:rFonts w:hint="eastAsia" w:cs="仿宋_GB2312"/>
                <w:color w:val="auto"/>
                <w:sz w:val="21"/>
                <w:szCs w:val="21"/>
                <w:highlight w:val="none"/>
              </w:rPr>
              <w:t>和生米水厂饮用水源地保护区存在部分重叠，禁养区面积合并计算。</w:t>
            </w:r>
          </w:p>
          <w:p w14:paraId="2C462B24">
            <w:pPr>
              <w:spacing w:line="240" w:lineRule="auto"/>
              <w:ind w:firstLine="0" w:firstLineChars="0"/>
              <w:rPr>
                <w:rFonts w:hint="eastAsia" w:cs="仿宋_GB2312"/>
                <w:color w:val="auto"/>
                <w:sz w:val="21"/>
                <w:szCs w:val="21"/>
                <w:highlight w:val="none"/>
              </w:rPr>
            </w:pPr>
            <w:r>
              <w:rPr>
                <w:rFonts w:hint="eastAsia" w:cs="仿宋_GB2312"/>
                <w:color w:val="auto"/>
                <w:sz w:val="21"/>
                <w:szCs w:val="21"/>
                <w:highlight w:val="none"/>
                <w:lang w:val="en-US" w:eastAsia="zh-CN"/>
              </w:rPr>
              <w:t>3.具体禁养区范围以附图及矢量文件为准。</w:t>
            </w:r>
          </w:p>
        </w:tc>
      </w:tr>
    </w:tbl>
    <w:p w14:paraId="3B9978C4">
      <w:pPr>
        <w:pStyle w:val="3"/>
        <w:bidi w:val="0"/>
        <w:rPr>
          <w:color w:val="auto"/>
          <w:highlight w:val="none"/>
        </w:rPr>
      </w:pPr>
      <w:bookmarkStart w:id="1" w:name="_Toc16055"/>
      <w:r>
        <w:rPr>
          <w:rFonts w:hint="eastAsia"/>
          <w:color w:val="auto"/>
          <w:highlight w:val="none"/>
          <w:lang w:val="en-US" w:eastAsia="zh-CN"/>
        </w:rPr>
        <w:t>5.2</w:t>
      </w:r>
      <w:r>
        <w:rPr>
          <w:rFonts w:hint="eastAsia"/>
          <w:color w:val="auto"/>
          <w:highlight w:val="none"/>
        </w:rPr>
        <w:t xml:space="preserve"> 城镇居民和文化教育科学研究区禁养区</w:t>
      </w:r>
      <w:bookmarkEnd w:id="1"/>
    </w:p>
    <w:p w14:paraId="268D7AEF">
      <w:pPr>
        <w:ind w:firstLine="560"/>
        <w:rPr>
          <w:rFonts w:hint="eastAsia"/>
          <w:color w:val="auto"/>
          <w:sz w:val="28"/>
          <w:szCs w:val="21"/>
          <w:highlight w:val="none"/>
          <w:lang w:val="en-US" w:eastAsia="zh-CN"/>
        </w:rPr>
      </w:pPr>
      <w:r>
        <w:rPr>
          <w:rFonts w:hint="eastAsia"/>
          <w:color w:val="auto"/>
          <w:sz w:val="28"/>
          <w:szCs w:val="21"/>
          <w:highlight w:val="none"/>
          <w:lang w:val="en-US" w:eastAsia="zh-CN"/>
        </w:rPr>
        <w:t>红谷滩区作为南昌市现代化核心城区、省市两级行政中心所在地，历经多轮行政区划调整，截至2024年已形成七街两镇的行政格局，全域国土总面积404.39km</w:t>
      </w:r>
      <w:r>
        <w:rPr>
          <w:rFonts w:hint="eastAsia"/>
          <w:color w:val="auto"/>
          <w:sz w:val="28"/>
          <w:szCs w:val="21"/>
          <w:highlight w:val="none"/>
          <w:vertAlign w:val="superscript"/>
          <w:lang w:val="en-US" w:eastAsia="zh-CN"/>
        </w:rPr>
        <w:t>2</w:t>
      </w:r>
      <w:r>
        <w:rPr>
          <w:rFonts w:hint="eastAsia"/>
          <w:color w:val="auto"/>
          <w:sz w:val="28"/>
          <w:szCs w:val="21"/>
          <w:highlight w:val="none"/>
          <w:lang w:val="en-US" w:eastAsia="zh-CN"/>
        </w:rPr>
        <w:t>。本次城镇居民和文化教育科学研究区禁养区划定，以《南昌市国土空间总体规划（2021-2035 年）》和用地现状为核心依据，结合各街道、乡镇的建成区范围、人口集聚程度、文化教育科研资源分布特点，将城市建成区、集镇建成区及人口密集的城镇核心区域全部纳入禁养区管控范围，具体行政区划及禁养划定关联特征如下：</w:t>
      </w:r>
    </w:p>
    <w:p w14:paraId="5F6616CF">
      <w:pPr>
        <w:pStyle w:val="4"/>
        <w:bidi w:val="0"/>
        <w:rPr>
          <w:rFonts w:hint="eastAsia"/>
          <w:color w:val="auto"/>
          <w:highlight w:val="none"/>
          <w:lang w:val="en-US" w:eastAsia="zh-CN"/>
        </w:rPr>
      </w:pPr>
      <w:r>
        <w:rPr>
          <w:rFonts w:hint="eastAsia"/>
          <w:color w:val="auto"/>
          <w:highlight w:val="none"/>
          <w:lang w:val="en-US" w:eastAsia="zh-CN"/>
        </w:rPr>
        <w:t>5.2.1中心城区六街道</w:t>
      </w:r>
    </w:p>
    <w:p w14:paraId="6549FB55">
      <w:pPr>
        <w:keepNext w:val="0"/>
        <w:keepLines/>
        <w:pageBreakBefore w:val="0"/>
        <w:widowControl w:val="0"/>
        <w:kinsoku/>
        <w:wordWrap w:val="0"/>
        <w:overflowPunct/>
        <w:topLinePunct w:val="0"/>
        <w:autoSpaceDE/>
        <w:autoSpaceDN/>
        <w:bidi w:val="0"/>
        <w:adjustRightInd/>
        <w:snapToGrid/>
        <w:ind w:firstLine="560"/>
        <w:textAlignment w:val="auto"/>
        <w:rPr>
          <w:rFonts w:hint="eastAsia"/>
          <w:color w:val="auto"/>
          <w:sz w:val="28"/>
          <w:szCs w:val="21"/>
          <w:highlight w:val="none"/>
          <w:lang w:val="en-US" w:eastAsia="zh-CN"/>
        </w:rPr>
      </w:pPr>
      <w:r>
        <w:rPr>
          <w:rFonts w:hint="eastAsia"/>
          <w:color w:val="auto"/>
          <w:sz w:val="28"/>
          <w:szCs w:val="21"/>
          <w:highlight w:val="none"/>
          <w:lang w:val="en-US" w:eastAsia="zh-CN"/>
        </w:rPr>
        <w:t>沙井街道、卫东街道、凤凰洲街道、红角洲街道、九龙湖街道、龙兴街道，为红谷滩区城市核心发展板块，全域基本为高度城市化的建成区，合计总体面积124.75km</w:t>
      </w:r>
      <w:r>
        <w:rPr>
          <w:rFonts w:hint="eastAsia"/>
          <w:color w:val="auto"/>
          <w:sz w:val="28"/>
          <w:szCs w:val="21"/>
          <w:highlight w:val="none"/>
          <w:vertAlign w:val="superscript"/>
          <w:lang w:val="en-US" w:eastAsia="zh-CN"/>
        </w:rPr>
        <w:t>2</w:t>
      </w:r>
      <w:r>
        <w:rPr>
          <w:rFonts w:hint="eastAsia"/>
          <w:color w:val="auto"/>
          <w:sz w:val="28"/>
          <w:szCs w:val="21"/>
          <w:highlight w:val="none"/>
          <w:lang w:val="en-US" w:eastAsia="zh-CN"/>
        </w:rPr>
        <w:t>（沙井7km</w:t>
      </w:r>
      <w:r>
        <w:rPr>
          <w:rFonts w:hint="eastAsia"/>
          <w:color w:val="auto"/>
          <w:sz w:val="28"/>
          <w:szCs w:val="21"/>
          <w:highlight w:val="none"/>
          <w:vertAlign w:val="superscript"/>
          <w:lang w:val="en-US" w:eastAsia="zh-CN"/>
        </w:rPr>
        <w:t>2</w:t>
      </w:r>
      <w:r>
        <w:rPr>
          <w:rFonts w:hint="eastAsia"/>
          <w:color w:val="auto"/>
          <w:sz w:val="28"/>
          <w:szCs w:val="21"/>
          <w:highlight w:val="none"/>
          <w:lang w:val="en-US" w:eastAsia="zh-CN"/>
        </w:rPr>
        <w:t>、卫东14.81km</w:t>
      </w:r>
      <w:r>
        <w:rPr>
          <w:rFonts w:hint="eastAsia"/>
          <w:color w:val="auto"/>
          <w:sz w:val="28"/>
          <w:szCs w:val="21"/>
          <w:highlight w:val="none"/>
          <w:vertAlign w:val="superscript"/>
          <w:lang w:val="en-US" w:eastAsia="zh-CN"/>
        </w:rPr>
        <w:t>2</w:t>
      </w:r>
      <w:r>
        <w:rPr>
          <w:rFonts w:hint="eastAsia"/>
          <w:color w:val="auto"/>
          <w:sz w:val="28"/>
          <w:szCs w:val="21"/>
          <w:highlight w:val="none"/>
          <w:lang w:val="en-US" w:eastAsia="zh-CN"/>
        </w:rPr>
        <w:t>、凤凰洲12.95km</w:t>
      </w:r>
      <w:r>
        <w:rPr>
          <w:rFonts w:hint="eastAsia"/>
          <w:color w:val="auto"/>
          <w:sz w:val="28"/>
          <w:szCs w:val="21"/>
          <w:highlight w:val="none"/>
          <w:vertAlign w:val="superscript"/>
          <w:lang w:val="en-US" w:eastAsia="zh-CN"/>
        </w:rPr>
        <w:t>2</w:t>
      </w:r>
      <w:r>
        <w:rPr>
          <w:rFonts w:hint="eastAsia"/>
          <w:color w:val="auto"/>
          <w:sz w:val="28"/>
          <w:szCs w:val="21"/>
          <w:highlight w:val="none"/>
          <w:lang w:val="en-US" w:eastAsia="zh-CN"/>
        </w:rPr>
        <w:t>、红角洲30km</w:t>
      </w:r>
      <w:r>
        <w:rPr>
          <w:rFonts w:hint="eastAsia"/>
          <w:color w:val="auto"/>
          <w:sz w:val="28"/>
          <w:szCs w:val="21"/>
          <w:highlight w:val="none"/>
          <w:vertAlign w:val="superscript"/>
          <w:lang w:val="en-US" w:eastAsia="zh-CN"/>
        </w:rPr>
        <w:t>2</w:t>
      </w:r>
      <w:r>
        <w:rPr>
          <w:rFonts w:hint="eastAsia"/>
          <w:color w:val="auto"/>
          <w:sz w:val="28"/>
          <w:szCs w:val="21"/>
          <w:highlight w:val="none"/>
          <w:lang w:val="en-US" w:eastAsia="zh-CN"/>
        </w:rPr>
        <w:t>、九龙湖23km</w:t>
      </w:r>
      <w:r>
        <w:rPr>
          <w:rFonts w:hint="eastAsia"/>
          <w:color w:val="auto"/>
          <w:sz w:val="28"/>
          <w:szCs w:val="21"/>
          <w:highlight w:val="none"/>
          <w:vertAlign w:val="superscript"/>
          <w:lang w:val="en-US" w:eastAsia="zh-CN"/>
        </w:rPr>
        <w:t>2</w:t>
      </w:r>
      <w:r>
        <w:rPr>
          <w:rFonts w:hint="eastAsia"/>
          <w:color w:val="auto"/>
          <w:sz w:val="28"/>
          <w:szCs w:val="21"/>
          <w:highlight w:val="none"/>
          <w:lang w:val="en-US" w:eastAsia="zh-CN"/>
        </w:rPr>
        <w:t>、龙兴36.99km</w:t>
      </w:r>
      <w:r>
        <w:rPr>
          <w:rFonts w:hint="eastAsia"/>
          <w:color w:val="auto"/>
          <w:sz w:val="28"/>
          <w:szCs w:val="21"/>
          <w:highlight w:val="none"/>
          <w:vertAlign w:val="superscript"/>
          <w:lang w:val="en-US" w:eastAsia="zh-CN"/>
        </w:rPr>
        <w:t>2</w:t>
      </w:r>
      <w:r>
        <w:rPr>
          <w:rFonts w:hint="eastAsia"/>
          <w:color w:val="auto"/>
          <w:sz w:val="28"/>
          <w:szCs w:val="21"/>
          <w:highlight w:val="none"/>
          <w:lang w:val="en-US" w:eastAsia="zh-CN"/>
        </w:rPr>
        <w:t>）。该区域是全省行政、金融、商务、文化、创新五大中心核心承载区，辖区内集聚大量住宅小区、商业综合体、各级行政单位及文化教育科研机构，人口高度密集，且各类公共服务资源高度集中。本次将该六街道建成区整体划定为禁养区，建成区划定面积为109.34km</w:t>
      </w:r>
      <w:r>
        <w:rPr>
          <w:rFonts w:hint="eastAsia"/>
          <w:color w:val="auto"/>
          <w:sz w:val="28"/>
          <w:szCs w:val="21"/>
          <w:highlight w:val="none"/>
          <w:vertAlign w:val="superscript"/>
          <w:lang w:val="en-US" w:eastAsia="zh-CN"/>
        </w:rPr>
        <w:t>2</w:t>
      </w:r>
      <w:r>
        <w:rPr>
          <w:rFonts w:hint="eastAsia"/>
          <w:color w:val="auto"/>
          <w:sz w:val="28"/>
          <w:szCs w:val="21"/>
          <w:highlight w:val="none"/>
          <w:lang w:val="en-US" w:eastAsia="zh-CN"/>
        </w:rPr>
        <w:t>，为城镇居民和文化教育科学研究区禁养区的核心区域，直接保障核心城区人居环境及文教科研区域的生态安全。</w:t>
      </w:r>
    </w:p>
    <w:p w14:paraId="0384EB95">
      <w:pPr>
        <w:pStyle w:val="4"/>
        <w:bidi w:val="0"/>
        <w:rPr>
          <w:rFonts w:hint="eastAsia"/>
          <w:color w:val="auto"/>
          <w:highlight w:val="none"/>
          <w:lang w:val="en-US" w:eastAsia="zh-CN"/>
        </w:rPr>
      </w:pPr>
      <w:r>
        <w:rPr>
          <w:rFonts w:hint="eastAsia"/>
          <w:color w:val="auto"/>
          <w:highlight w:val="none"/>
          <w:lang w:val="en-US" w:eastAsia="zh-CN"/>
        </w:rPr>
        <w:t>5.2.2生米街道</w:t>
      </w:r>
    </w:p>
    <w:p w14:paraId="533E380C">
      <w:pPr>
        <w:ind w:firstLine="560"/>
        <w:rPr>
          <w:rFonts w:hint="eastAsia"/>
          <w:color w:val="auto"/>
          <w:sz w:val="28"/>
          <w:szCs w:val="21"/>
          <w:highlight w:val="none"/>
          <w:lang w:val="en-US" w:eastAsia="zh-CN"/>
        </w:rPr>
      </w:pPr>
      <w:r>
        <w:rPr>
          <w:rFonts w:hint="eastAsia"/>
          <w:color w:val="auto"/>
          <w:sz w:val="28"/>
          <w:szCs w:val="21"/>
          <w:highlight w:val="none"/>
          <w:lang w:val="en-US" w:eastAsia="zh-CN"/>
        </w:rPr>
        <w:t>生米街道位于南昌市红谷滩区中部，东临赣江，西接龙兴街道，北连九龙湖街道，南邻厚田镇及流湖镇，由原生生米镇撤镇设街而来，总体面积70km</w:t>
      </w:r>
      <w:r>
        <w:rPr>
          <w:rFonts w:hint="eastAsia"/>
          <w:color w:val="auto"/>
          <w:sz w:val="28"/>
          <w:szCs w:val="21"/>
          <w:highlight w:val="none"/>
          <w:vertAlign w:val="superscript"/>
          <w:lang w:val="en-US" w:eastAsia="zh-CN"/>
        </w:rPr>
        <w:t>2</w:t>
      </w:r>
      <w:r>
        <w:rPr>
          <w:rFonts w:hint="eastAsia"/>
          <w:color w:val="auto"/>
          <w:sz w:val="28"/>
          <w:szCs w:val="21"/>
          <w:highlight w:val="none"/>
          <w:lang w:val="en-US" w:eastAsia="zh-CN"/>
        </w:rPr>
        <w:t>，是南昌市未来科学城的重要组成部分，也是红谷滩“三次开发”的主阵地。随着省市重大重点项目落地、城市交通网络持续完善，生米街道逐步呈现“北城南乡”的空间格局，城镇建成区与农业区域交错分布。</w:t>
      </w:r>
    </w:p>
    <w:p w14:paraId="05C93251">
      <w:pPr>
        <w:ind w:firstLine="560"/>
        <w:rPr>
          <w:rFonts w:hint="eastAsia"/>
          <w:color w:val="auto"/>
          <w:sz w:val="28"/>
          <w:szCs w:val="21"/>
          <w:highlight w:val="none"/>
          <w:lang w:val="en-US" w:eastAsia="zh-CN"/>
        </w:rPr>
      </w:pPr>
      <w:r>
        <w:rPr>
          <w:rFonts w:hint="eastAsia"/>
          <w:color w:val="auto"/>
          <w:sz w:val="28"/>
          <w:szCs w:val="21"/>
          <w:highlight w:val="none"/>
          <w:lang w:val="en-US" w:eastAsia="zh-CN"/>
        </w:rPr>
        <w:t>该街道辖区内城镇建成区面积26.90km</w:t>
      </w:r>
      <w:r>
        <w:rPr>
          <w:rFonts w:hint="eastAsia"/>
          <w:color w:val="auto"/>
          <w:sz w:val="28"/>
          <w:szCs w:val="21"/>
          <w:highlight w:val="none"/>
          <w:vertAlign w:val="superscript"/>
          <w:lang w:val="en-US" w:eastAsia="zh-CN"/>
        </w:rPr>
        <w:t>2</w:t>
      </w:r>
      <w:r>
        <w:rPr>
          <w:rFonts w:hint="eastAsia"/>
          <w:color w:val="auto"/>
          <w:sz w:val="28"/>
          <w:szCs w:val="21"/>
          <w:highlight w:val="none"/>
          <w:lang w:val="en-US" w:eastAsia="zh-CN"/>
        </w:rPr>
        <w:t>，作为红谷滩区南部重要集镇，其集镇核心区人口集聚度较高，且分布有中小学、社区文化中心、卫生院等完善的公共服务设施，同时与生米水厂饮用水源地保护区相邻，生态保护与人居保障需求突出。</w:t>
      </w:r>
    </w:p>
    <w:p w14:paraId="78BD29B2">
      <w:pPr>
        <w:ind w:firstLine="560"/>
        <w:rPr>
          <w:rFonts w:hint="eastAsia"/>
          <w:color w:val="auto"/>
          <w:sz w:val="28"/>
          <w:szCs w:val="21"/>
          <w:highlight w:val="none"/>
          <w:lang w:val="en-US" w:eastAsia="zh-CN"/>
        </w:rPr>
      </w:pPr>
      <w:r>
        <w:rPr>
          <w:rFonts w:hint="eastAsia"/>
          <w:color w:val="auto"/>
          <w:sz w:val="28"/>
          <w:szCs w:val="21"/>
          <w:highlight w:val="none"/>
          <w:lang w:val="en-US" w:eastAsia="zh-CN"/>
        </w:rPr>
        <w:t>本次将其建成区整体纳入禁养区，既契合城镇功能定位与人口分布特征，也能有效管控养殖活动对人居环境的影响，同时强化饮用水源周边生态管控，符合禁养区划定的生态与民生双重要求。</w:t>
      </w:r>
    </w:p>
    <w:p w14:paraId="28216959">
      <w:pPr>
        <w:pStyle w:val="4"/>
        <w:bidi w:val="0"/>
        <w:rPr>
          <w:rFonts w:hint="eastAsia"/>
          <w:color w:val="auto"/>
          <w:highlight w:val="none"/>
          <w:lang w:val="en-US" w:eastAsia="zh-CN"/>
        </w:rPr>
      </w:pPr>
      <w:r>
        <w:rPr>
          <w:rFonts w:hint="eastAsia"/>
          <w:color w:val="auto"/>
          <w:highlight w:val="none"/>
          <w:lang w:val="en-US" w:eastAsia="zh-CN"/>
        </w:rPr>
        <w:t>5.2.3厚田镇</w:t>
      </w:r>
    </w:p>
    <w:p w14:paraId="739E6769">
      <w:pPr>
        <w:ind w:firstLine="560"/>
        <w:rPr>
          <w:rFonts w:hint="eastAsia"/>
          <w:color w:val="auto"/>
          <w:sz w:val="28"/>
          <w:szCs w:val="21"/>
          <w:highlight w:val="none"/>
          <w:lang w:val="en-US" w:eastAsia="zh-CN"/>
        </w:rPr>
      </w:pPr>
      <w:r>
        <w:rPr>
          <w:rFonts w:hint="eastAsia"/>
          <w:color w:val="auto"/>
          <w:sz w:val="28"/>
          <w:szCs w:val="21"/>
          <w:highlight w:val="none"/>
          <w:lang w:val="en-US" w:eastAsia="zh-CN"/>
        </w:rPr>
        <w:t>厚田镇2021年划入红谷滩区，2024年撤乡设镇，总体面积77km</w:t>
      </w:r>
      <w:r>
        <w:rPr>
          <w:rFonts w:hint="eastAsia"/>
          <w:color w:val="auto"/>
          <w:sz w:val="28"/>
          <w:szCs w:val="21"/>
          <w:highlight w:val="none"/>
          <w:vertAlign w:val="superscript"/>
          <w:lang w:val="en-US" w:eastAsia="zh-CN"/>
        </w:rPr>
        <w:t>2</w:t>
      </w:r>
      <w:r>
        <w:rPr>
          <w:rFonts w:hint="eastAsia"/>
          <w:color w:val="auto"/>
          <w:sz w:val="28"/>
          <w:szCs w:val="21"/>
          <w:highlight w:val="none"/>
          <w:lang w:val="en-US" w:eastAsia="zh-CN"/>
        </w:rPr>
        <w:t>，为红谷滩区东南部乡镇板块，辖1个社区、19个行政村，集镇建成区面积5.05km</w:t>
      </w:r>
      <w:r>
        <w:rPr>
          <w:rFonts w:hint="eastAsia"/>
          <w:color w:val="auto"/>
          <w:sz w:val="28"/>
          <w:szCs w:val="21"/>
          <w:highlight w:val="none"/>
          <w:vertAlign w:val="superscript"/>
          <w:lang w:val="en-US" w:eastAsia="zh-CN"/>
        </w:rPr>
        <w:t>2</w:t>
      </w:r>
      <w:r>
        <w:rPr>
          <w:rFonts w:hint="eastAsia"/>
          <w:color w:val="auto"/>
          <w:sz w:val="28"/>
          <w:szCs w:val="21"/>
          <w:highlight w:val="none"/>
          <w:lang w:val="en-US" w:eastAsia="zh-CN"/>
        </w:rPr>
        <w:t>。该镇地处红谷滩区西南生态农业与城镇融合发展节点，东临赣江，南邻丰城市，西连流湖镇，北靠生米街道，辖区内分布有镇政府、中小学、卫生院、社区文化中心等公共服务设施，是乡村区域的核心城镇节点，人口相对集聚，人居环境保障需求显著。</w:t>
      </w:r>
    </w:p>
    <w:p w14:paraId="2C0181DE">
      <w:pPr>
        <w:ind w:firstLine="560"/>
        <w:rPr>
          <w:rFonts w:hint="eastAsia"/>
          <w:color w:val="auto"/>
          <w:sz w:val="28"/>
          <w:szCs w:val="21"/>
          <w:highlight w:val="none"/>
          <w:lang w:val="en-US" w:eastAsia="zh-CN"/>
        </w:rPr>
      </w:pPr>
      <w:r>
        <w:rPr>
          <w:rFonts w:hint="eastAsia"/>
          <w:color w:val="auto"/>
          <w:sz w:val="28"/>
          <w:szCs w:val="21"/>
          <w:highlight w:val="none"/>
          <w:lang w:val="en-US" w:eastAsia="zh-CN"/>
        </w:rPr>
        <w:t>结合厚田镇城镇功能定位与区域发展规划，其集镇建成区为辖区综合服务中心，各类生活、公共服务资源高度集中。本次将其建成区划定为禁养区，可精准管控集镇核心区域的养殖污染，避免养殖活动对城镇居民生活、文教活动及公共服务设施运行造成负面影响，进一步筑牢红谷滩区西南部城镇生态人居屏障，与禁养区划定的核心目标高度契合。</w:t>
      </w:r>
    </w:p>
    <w:p w14:paraId="32310701">
      <w:pPr>
        <w:pStyle w:val="4"/>
        <w:bidi w:val="0"/>
        <w:rPr>
          <w:rFonts w:hint="eastAsia"/>
          <w:color w:val="auto"/>
          <w:highlight w:val="none"/>
          <w:lang w:val="en-US" w:eastAsia="zh-CN"/>
        </w:rPr>
      </w:pPr>
      <w:r>
        <w:rPr>
          <w:rFonts w:hint="eastAsia"/>
          <w:color w:val="auto"/>
          <w:highlight w:val="none"/>
          <w:lang w:val="en-US" w:eastAsia="zh-CN"/>
        </w:rPr>
        <w:t>5.2.4流湖镇</w:t>
      </w:r>
    </w:p>
    <w:p w14:paraId="35D01B75">
      <w:pPr>
        <w:ind w:firstLine="560"/>
        <w:rPr>
          <w:rFonts w:hint="eastAsia"/>
          <w:color w:val="auto"/>
          <w:sz w:val="28"/>
          <w:szCs w:val="21"/>
          <w:highlight w:val="none"/>
          <w:lang w:val="en-US" w:eastAsia="zh-CN"/>
        </w:rPr>
      </w:pPr>
      <w:r>
        <w:rPr>
          <w:rFonts w:hint="eastAsia"/>
          <w:color w:val="auto"/>
          <w:sz w:val="28"/>
          <w:szCs w:val="21"/>
          <w:highlight w:val="none"/>
          <w:lang w:val="en-US" w:eastAsia="zh-CN"/>
        </w:rPr>
        <w:t>流湖镇位于红谷滩区南部，2001年由流湖乡和义渡乡合并组成，2014年撤乡建镇，2022年划入红谷滩区，总体面积132.64km</w:t>
      </w:r>
      <w:r>
        <w:rPr>
          <w:rFonts w:hint="eastAsia"/>
          <w:color w:val="auto"/>
          <w:sz w:val="28"/>
          <w:szCs w:val="21"/>
          <w:highlight w:val="none"/>
          <w:vertAlign w:val="superscript"/>
          <w:lang w:val="en-US" w:eastAsia="zh-CN"/>
        </w:rPr>
        <w:t>2</w:t>
      </w:r>
      <w:r>
        <w:rPr>
          <w:rFonts w:hint="eastAsia"/>
          <w:color w:val="auto"/>
          <w:sz w:val="28"/>
          <w:szCs w:val="21"/>
          <w:highlight w:val="none"/>
          <w:lang w:val="en-US" w:eastAsia="zh-CN"/>
        </w:rPr>
        <w:t>，为红谷滩区西部农业与城镇融合发展板块，辖2个社区、27 个行政村，集镇建成区面积2.73km</w:t>
      </w:r>
      <w:r>
        <w:rPr>
          <w:rFonts w:hint="eastAsia"/>
          <w:color w:val="auto"/>
          <w:sz w:val="28"/>
          <w:szCs w:val="21"/>
          <w:highlight w:val="none"/>
          <w:vertAlign w:val="superscript"/>
          <w:lang w:val="en-US" w:eastAsia="zh-CN"/>
        </w:rPr>
        <w:t>2</w:t>
      </w:r>
      <w:r>
        <w:rPr>
          <w:rFonts w:hint="eastAsia"/>
          <w:color w:val="auto"/>
          <w:sz w:val="28"/>
          <w:szCs w:val="21"/>
          <w:highlight w:val="none"/>
          <w:lang w:val="en-US" w:eastAsia="zh-CN"/>
        </w:rPr>
        <w:t>。该镇东连厚田镇，南与新建区、丰城市接壤，西接新建区石岗镇、西山镇，北邻新建区石埠镇、红谷滩区生米街道，属半丘陵半滨湖平原地区，是区域内农业大镇，区域交通条件良好，是南昌市重点打造的未来科学城重要组成部分。</w:t>
      </w:r>
    </w:p>
    <w:p w14:paraId="6E6ADA01">
      <w:pPr>
        <w:ind w:firstLine="560"/>
        <w:rPr>
          <w:rFonts w:hint="eastAsia"/>
          <w:color w:val="auto"/>
          <w:sz w:val="28"/>
          <w:szCs w:val="21"/>
          <w:highlight w:val="none"/>
          <w:lang w:val="en-US" w:eastAsia="zh-CN"/>
        </w:rPr>
      </w:pPr>
      <w:r>
        <w:rPr>
          <w:rFonts w:hint="eastAsia"/>
          <w:color w:val="auto"/>
          <w:sz w:val="28"/>
          <w:szCs w:val="21"/>
          <w:highlight w:val="none"/>
          <w:lang w:val="en-US" w:eastAsia="zh-CN"/>
        </w:rPr>
        <w:t>结合流湖镇城镇功能定位与区域发展规划，流湖镇集镇建成区为辖区综合服务中心，集聚镇政府、学校、卫生院等核心公共服务资源，人口相对集中，且辖区内规模化畜禽养殖场分布较多，养殖活动与城镇建成区的空间邻近性较强。本次将集镇建成区划定为禁养区，通过明确管控边界，可有效避免养殖活动对集镇人居环境、公共服务设施运行造成干扰，同时契合农业大镇的区域发展规划，实现城镇生态保护与农业区域合理布局的平衡。</w:t>
      </w:r>
    </w:p>
    <w:p w14:paraId="65662A8E">
      <w:pPr>
        <w:pStyle w:val="4"/>
        <w:keepNext w:val="0"/>
        <w:keepLines w:val="0"/>
        <w:pageBreakBefore w:val="0"/>
        <w:widowControl/>
        <w:kinsoku/>
        <w:wordWrap w:val="0"/>
        <w:overflowPunct/>
        <w:topLinePunct w:val="0"/>
        <w:autoSpaceDE/>
        <w:autoSpaceDN/>
        <w:bidi w:val="0"/>
        <w:adjustRightInd/>
        <w:snapToGrid/>
        <w:spacing w:before="0" w:beforeLines="0" w:after="0" w:afterLines="0"/>
        <w:textAlignment w:val="auto"/>
        <w:rPr>
          <w:rFonts w:hint="eastAsia" w:eastAsia="仿宋_GB2312"/>
          <w:color w:val="auto"/>
          <w:highlight w:val="none"/>
          <w:lang w:val="en-US" w:eastAsia="zh-CN"/>
        </w:rPr>
      </w:pPr>
      <w:r>
        <w:rPr>
          <w:rFonts w:hint="eastAsia"/>
          <w:color w:val="auto"/>
          <w:highlight w:val="none"/>
          <w:lang w:val="en-US" w:eastAsia="zh-CN"/>
        </w:rPr>
        <w:t>5.2.5</w:t>
      </w:r>
      <w:r>
        <w:rPr>
          <w:rFonts w:ascii="仿宋_GB2312" w:hAnsi="仿宋_GB2312" w:eastAsia="仿宋_GB2312" w:cs="仿宋_GB2312"/>
          <w:color w:val="auto"/>
          <w:sz w:val="30"/>
          <w:szCs w:val="30"/>
          <w:highlight w:val="none"/>
        </w:rPr>
        <w:t>禁养区划定</w:t>
      </w:r>
      <w:r>
        <w:rPr>
          <w:rFonts w:hint="eastAsia" w:cs="仿宋_GB2312"/>
          <w:color w:val="auto"/>
          <w:sz w:val="30"/>
          <w:szCs w:val="30"/>
          <w:highlight w:val="none"/>
          <w:lang w:val="en-US" w:eastAsia="zh-CN"/>
        </w:rPr>
        <w:t>结果</w:t>
      </w:r>
    </w:p>
    <w:p w14:paraId="1BFF4380">
      <w:pPr>
        <w:ind w:firstLine="560"/>
        <w:rPr>
          <w:rFonts w:hint="eastAsia"/>
          <w:color w:val="auto"/>
          <w:sz w:val="28"/>
          <w:szCs w:val="21"/>
          <w:highlight w:val="none"/>
          <w:lang w:val="en-US" w:eastAsia="zh-CN"/>
        </w:rPr>
      </w:pPr>
      <w:r>
        <w:rPr>
          <w:rFonts w:hint="eastAsia"/>
          <w:color w:val="auto"/>
          <w:sz w:val="28"/>
          <w:szCs w:val="21"/>
          <w:highlight w:val="none"/>
          <w:lang w:val="en-US" w:eastAsia="zh-CN"/>
        </w:rPr>
        <w:t>红谷滩区七街两镇的建成区全域构成本次城镇居民和文化教育科学研究区禁养区的主体范围，各区域建成区划定均与城镇功能定位、人口分布、公共服务资源布局高度匹配，合计建成区禁养面积 144.02km</w:t>
      </w:r>
      <w:r>
        <w:rPr>
          <w:rFonts w:hint="eastAsia"/>
          <w:color w:val="auto"/>
          <w:sz w:val="28"/>
          <w:szCs w:val="21"/>
          <w:highlight w:val="none"/>
          <w:vertAlign w:val="superscript"/>
          <w:lang w:val="en-US" w:eastAsia="zh-CN"/>
        </w:rPr>
        <w:t>2</w:t>
      </w:r>
      <w:r>
        <w:rPr>
          <w:rFonts w:hint="eastAsia"/>
          <w:color w:val="auto"/>
          <w:sz w:val="28"/>
          <w:szCs w:val="21"/>
          <w:highlight w:val="none"/>
          <w:lang w:val="en-US" w:eastAsia="zh-CN"/>
        </w:rPr>
        <w:t>，实现了城镇人口集中区域、文化教育科学研究区域养殖管控的全覆盖，符合《畜禽养殖禁养区划定技术指南》中关于城镇居民区和文化教育科学研究区禁养划定的核心要求。</w:t>
      </w:r>
    </w:p>
    <w:p w14:paraId="299D7640">
      <w:pPr>
        <w:ind w:firstLine="600"/>
        <w:rPr>
          <w:color w:val="auto"/>
          <w:sz w:val="28"/>
          <w:szCs w:val="21"/>
          <w:highlight w:val="none"/>
        </w:rPr>
      </w:pPr>
      <w:r>
        <w:rPr>
          <w:rFonts w:hint="eastAsia"/>
          <w:color w:val="auto"/>
          <w:sz w:val="28"/>
          <w:szCs w:val="21"/>
          <w:highlight w:val="none"/>
        </w:rPr>
        <w:t>红谷滩区内各街道及集镇建成区禁养区</w:t>
      </w:r>
      <w:r>
        <w:rPr>
          <w:rFonts w:hint="eastAsia"/>
          <w:color w:val="auto"/>
          <w:sz w:val="28"/>
          <w:szCs w:val="21"/>
          <w:highlight w:val="none"/>
          <w:lang w:val="en-US" w:eastAsia="zh-CN"/>
        </w:rPr>
        <w:t>划定结果</w:t>
      </w:r>
      <w:r>
        <w:rPr>
          <w:rFonts w:hint="eastAsia"/>
          <w:color w:val="auto"/>
          <w:sz w:val="28"/>
          <w:szCs w:val="21"/>
          <w:highlight w:val="none"/>
        </w:rPr>
        <w:t>详见下表</w:t>
      </w:r>
      <w:r>
        <w:rPr>
          <w:rFonts w:hint="eastAsia"/>
          <w:color w:val="auto"/>
          <w:sz w:val="28"/>
          <w:szCs w:val="21"/>
          <w:highlight w:val="none"/>
          <w:lang w:val="en-US" w:eastAsia="zh-CN"/>
        </w:rPr>
        <w:t>，具体边界以矢量图件为准</w:t>
      </w:r>
      <w:r>
        <w:rPr>
          <w:rFonts w:hint="eastAsia"/>
          <w:color w:val="auto"/>
          <w:sz w:val="28"/>
          <w:szCs w:val="21"/>
          <w:highlight w:val="none"/>
        </w:rPr>
        <w:t>。</w:t>
      </w:r>
    </w:p>
    <w:p w14:paraId="17E613BB">
      <w:pPr>
        <w:rPr>
          <w:rFonts w:hint="eastAsia"/>
          <w:b/>
          <w:color w:val="auto"/>
          <w:sz w:val="28"/>
          <w:highlight w:val="none"/>
        </w:rPr>
      </w:pPr>
      <w:r>
        <w:rPr>
          <w:rFonts w:hint="eastAsia"/>
          <w:b/>
          <w:color w:val="auto"/>
          <w:sz w:val="28"/>
          <w:highlight w:val="none"/>
        </w:rPr>
        <w:br w:type="page"/>
      </w:r>
    </w:p>
    <w:p w14:paraId="3A52450E">
      <w:pPr>
        <w:ind w:left="0" w:leftChars="0" w:firstLine="0" w:firstLineChars="0"/>
        <w:jc w:val="center"/>
        <w:rPr>
          <w:b/>
          <w:color w:val="auto"/>
          <w:sz w:val="28"/>
          <w:highlight w:val="none"/>
        </w:rPr>
      </w:pPr>
      <w:r>
        <w:rPr>
          <w:rFonts w:hint="eastAsia"/>
          <w:b/>
          <w:color w:val="auto"/>
          <w:sz w:val="28"/>
          <w:highlight w:val="none"/>
        </w:rPr>
        <w:t>表</w:t>
      </w:r>
      <w:r>
        <w:rPr>
          <w:rFonts w:hint="eastAsia"/>
          <w:b/>
          <w:color w:val="auto"/>
          <w:sz w:val="28"/>
          <w:highlight w:val="none"/>
          <w:lang w:val="en-US" w:eastAsia="zh-CN"/>
        </w:rPr>
        <w:t>5</w:t>
      </w:r>
      <w:r>
        <w:rPr>
          <w:rFonts w:hint="eastAsia"/>
          <w:b/>
          <w:color w:val="auto"/>
          <w:sz w:val="28"/>
          <w:highlight w:val="none"/>
        </w:rPr>
        <w:t>.</w:t>
      </w:r>
      <w:r>
        <w:rPr>
          <w:rFonts w:hint="eastAsia"/>
          <w:b/>
          <w:color w:val="auto"/>
          <w:sz w:val="28"/>
          <w:highlight w:val="none"/>
          <w:lang w:val="en-US" w:eastAsia="zh-CN"/>
        </w:rPr>
        <w:t>2-1</w:t>
      </w:r>
      <w:r>
        <w:rPr>
          <w:rFonts w:hint="eastAsia"/>
          <w:b/>
          <w:color w:val="auto"/>
          <w:sz w:val="28"/>
          <w:highlight w:val="none"/>
        </w:rPr>
        <w:t xml:space="preserve">  城镇居民和文化教育科学研究区禁养区</w:t>
      </w:r>
      <w:r>
        <w:rPr>
          <w:rFonts w:hint="eastAsia"/>
          <w:b/>
          <w:color w:val="auto"/>
          <w:sz w:val="28"/>
          <w:highlight w:val="none"/>
          <w:lang w:val="en-US" w:eastAsia="zh-CN"/>
        </w:rPr>
        <w:t>划定</w:t>
      </w:r>
      <w:r>
        <w:rPr>
          <w:rFonts w:hint="eastAsia"/>
          <w:b/>
          <w:color w:val="auto"/>
          <w:sz w:val="28"/>
          <w:highlight w:val="none"/>
        </w:rPr>
        <w:t>情况一览表</w:t>
      </w:r>
    </w:p>
    <w:tbl>
      <w:tblPr>
        <w:tblStyle w:val="8"/>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82"/>
        <w:gridCol w:w="648"/>
        <w:gridCol w:w="1807"/>
        <w:gridCol w:w="2374"/>
        <w:gridCol w:w="2811"/>
      </w:tblGrid>
      <w:tr w14:paraId="4B71BA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23" w:hRule="atLeast"/>
          <w:tblHeader/>
        </w:trPr>
        <w:tc>
          <w:tcPr>
            <w:tcW w:w="518" w:type="pct"/>
            <w:vAlign w:val="center"/>
          </w:tcPr>
          <w:p w14:paraId="7CBB8140">
            <w:pPr>
              <w:spacing w:line="240" w:lineRule="auto"/>
              <w:ind w:firstLine="0" w:firstLineChars="0"/>
              <w:jc w:val="center"/>
              <w:rPr>
                <w:rFonts w:cs="仿宋_GB2312"/>
                <w:b/>
                <w:color w:val="auto"/>
                <w:sz w:val="28"/>
                <w:szCs w:val="28"/>
                <w:highlight w:val="none"/>
              </w:rPr>
            </w:pPr>
            <w:r>
              <w:rPr>
                <w:rFonts w:hint="eastAsia" w:cs="仿宋_GB2312"/>
                <w:b/>
                <w:color w:val="auto"/>
                <w:sz w:val="28"/>
                <w:szCs w:val="28"/>
                <w:highlight w:val="none"/>
              </w:rPr>
              <w:t>序号</w:t>
            </w:r>
          </w:p>
        </w:tc>
        <w:tc>
          <w:tcPr>
            <w:tcW w:w="1439" w:type="pct"/>
            <w:gridSpan w:val="2"/>
            <w:vAlign w:val="center"/>
          </w:tcPr>
          <w:p w14:paraId="2BC7F8D0">
            <w:pPr>
              <w:spacing w:line="240" w:lineRule="auto"/>
              <w:ind w:firstLine="0" w:firstLineChars="0"/>
              <w:jc w:val="center"/>
              <w:rPr>
                <w:rFonts w:cs="仿宋_GB2312"/>
                <w:b/>
                <w:color w:val="auto"/>
                <w:sz w:val="28"/>
                <w:szCs w:val="28"/>
                <w:highlight w:val="none"/>
              </w:rPr>
            </w:pPr>
            <w:r>
              <w:rPr>
                <w:rFonts w:hint="eastAsia" w:cs="仿宋_GB2312"/>
                <w:b/>
                <w:color w:val="auto"/>
                <w:sz w:val="28"/>
                <w:szCs w:val="28"/>
                <w:highlight w:val="none"/>
              </w:rPr>
              <w:t>名称</w:t>
            </w:r>
          </w:p>
        </w:tc>
        <w:tc>
          <w:tcPr>
            <w:tcW w:w="1393" w:type="pct"/>
            <w:vAlign w:val="center"/>
          </w:tcPr>
          <w:p w14:paraId="1F055E39">
            <w:pPr>
              <w:spacing w:line="240" w:lineRule="auto"/>
              <w:ind w:firstLine="0" w:firstLineChars="0"/>
              <w:jc w:val="center"/>
              <w:rPr>
                <w:rFonts w:cs="仿宋_GB2312"/>
                <w:b/>
                <w:color w:val="auto"/>
                <w:sz w:val="28"/>
                <w:szCs w:val="28"/>
                <w:highlight w:val="none"/>
              </w:rPr>
            </w:pPr>
            <w:r>
              <w:rPr>
                <w:rFonts w:hint="eastAsia" w:cs="仿宋_GB2312"/>
                <w:b/>
                <w:color w:val="auto"/>
                <w:sz w:val="28"/>
                <w:szCs w:val="28"/>
                <w:highlight w:val="none"/>
              </w:rPr>
              <w:t>总体面积（</w:t>
            </w:r>
            <w:r>
              <w:rPr>
                <w:rFonts w:hint="eastAsia" w:cs="仿宋_GB2312"/>
                <w:color w:val="auto"/>
                <w:sz w:val="28"/>
                <w:szCs w:val="28"/>
                <w:highlight w:val="none"/>
              </w:rPr>
              <w:t>km</w:t>
            </w:r>
            <w:r>
              <w:rPr>
                <w:rFonts w:hint="eastAsia" w:cs="仿宋_GB2312"/>
                <w:color w:val="auto"/>
                <w:sz w:val="28"/>
                <w:szCs w:val="28"/>
                <w:highlight w:val="none"/>
                <w:vertAlign w:val="superscript"/>
              </w:rPr>
              <w:t>2</w:t>
            </w:r>
            <w:r>
              <w:rPr>
                <w:rFonts w:hint="eastAsia" w:cs="仿宋_GB2312"/>
                <w:b/>
                <w:color w:val="auto"/>
                <w:sz w:val="28"/>
                <w:szCs w:val="28"/>
                <w:highlight w:val="none"/>
              </w:rPr>
              <w:t>）</w:t>
            </w:r>
          </w:p>
        </w:tc>
        <w:tc>
          <w:tcPr>
            <w:tcW w:w="1648" w:type="pct"/>
            <w:vAlign w:val="center"/>
          </w:tcPr>
          <w:p w14:paraId="3334ECFB">
            <w:pPr>
              <w:spacing w:line="240" w:lineRule="auto"/>
              <w:ind w:firstLine="0" w:firstLineChars="0"/>
              <w:jc w:val="center"/>
              <w:rPr>
                <w:rFonts w:cs="仿宋_GB2312"/>
                <w:b/>
                <w:color w:val="auto"/>
                <w:sz w:val="28"/>
                <w:szCs w:val="28"/>
                <w:highlight w:val="none"/>
              </w:rPr>
            </w:pPr>
            <w:r>
              <w:rPr>
                <w:rFonts w:hint="eastAsia" w:cs="仿宋_GB2312"/>
                <w:b/>
                <w:color w:val="auto"/>
                <w:sz w:val="28"/>
                <w:szCs w:val="28"/>
                <w:highlight w:val="none"/>
              </w:rPr>
              <w:t>建成区面积（</w:t>
            </w:r>
            <w:r>
              <w:rPr>
                <w:rFonts w:hint="eastAsia" w:cs="仿宋_GB2312"/>
                <w:color w:val="auto"/>
                <w:sz w:val="28"/>
                <w:szCs w:val="28"/>
                <w:highlight w:val="none"/>
              </w:rPr>
              <w:t>km</w:t>
            </w:r>
            <w:r>
              <w:rPr>
                <w:rFonts w:hint="eastAsia" w:cs="仿宋_GB2312"/>
                <w:color w:val="auto"/>
                <w:sz w:val="28"/>
                <w:szCs w:val="28"/>
                <w:highlight w:val="none"/>
                <w:vertAlign w:val="superscript"/>
              </w:rPr>
              <w:t>2</w:t>
            </w:r>
            <w:r>
              <w:rPr>
                <w:rFonts w:hint="eastAsia" w:cs="仿宋_GB2312"/>
                <w:b/>
                <w:color w:val="auto"/>
                <w:sz w:val="28"/>
                <w:szCs w:val="28"/>
                <w:highlight w:val="none"/>
              </w:rPr>
              <w:t>）</w:t>
            </w:r>
          </w:p>
        </w:tc>
      </w:tr>
      <w:tr w14:paraId="0AABEC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18" w:type="pct"/>
            <w:vAlign w:val="center"/>
          </w:tcPr>
          <w:p w14:paraId="617234B2">
            <w:pPr>
              <w:spacing w:line="240" w:lineRule="auto"/>
              <w:ind w:firstLine="0" w:firstLineChars="0"/>
              <w:jc w:val="center"/>
              <w:rPr>
                <w:rFonts w:cs="仿宋_GB2312"/>
                <w:color w:val="auto"/>
                <w:sz w:val="28"/>
                <w:szCs w:val="28"/>
                <w:highlight w:val="none"/>
              </w:rPr>
            </w:pPr>
            <w:r>
              <w:rPr>
                <w:rFonts w:hint="eastAsia" w:cs="仿宋_GB2312"/>
                <w:color w:val="auto"/>
                <w:sz w:val="28"/>
                <w:szCs w:val="28"/>
                <w:highlight w:val="none"/>
              </w:rPr>
              <w:t>1</w:t>
            </w:r>
          </w:p>
        </w:tc>
        <w:tc>
          <w:tcPr>
            <w:tcW w:w="380" w:type="pct"/>
            <w:vMerge w:val="restart"/>
            <w:vAlign w:val="center"/>
          </w:tcPr>
          <w:p w14:paraId="5EFD064D">
            <w:pPr>
              <w:spacing w:line="240" w:lineRule="auto"/>
              <w:ind w:firstLine="0" w:firstLineChars="0"/>
              <w:jc w:val="center"/>
              <w:rPr>
                <w:rFonts w:cs="仿宋_GB2312"/>
                <w:color w:val="auto"/>
                <w:sz w:val="28"/>
                <w:szCs w:val="28"/>
                <w:highlight w:val="none"/>
              </w:rPr>
            </w:pPr>
            <w:r>
              <w:rPr>
                <w:rFonts w:hint="eastAsia" w:cs="仿宋_GB2312"/>
                <w:color w:val="auto"/>
                <w:sz w:val="28"/>
                <w:szCs w:val="28"/>
                <w:highlight w:val="none"/>
              </w:rPr>
              <w:t>中心城区</w:t>
            </w:r>
          </w:p>
        </w:tc>
        <w:tc>
          <w:tcPr>
            <w:tcW w:w="1059" w:type="pct"/>
            <w:shd w:val="clear" w:color="auto" w:fill="auto"/>
            <w:vAlign w:val="center"/>
          </w:tcPr>
          <w:p w14:paraId="1CAE553F">
            <w:pPr>
              <w:spacing w:line="240" w:lineRule="auto"/>
              <w:ind w:firstLine="0" w:firstLineChars="0"/>
              <w:jc w:val="center"/>
              <w:rPr>
                <w:rFonts w:cs="仿宋_GB2312"/>
                <w:color w:val="auto"/>
                <w:sz w:val="28"/>
                <w:szCs w:val="28"/>
                <w:highlight w:val="none"/>
              </w:rPr>
            </w:pPr>
            <w:r>
              <w:rPr>
                <w:rFonts w:hint="eastAsia" w:cs="仿宋_GB2312"/>
                <w:color w:val="auto"/>
                <w:sz w:val="28"/>
                <w:szCs w:val="28"/>
                <w:highlight w:val="none"/>
              </w:rPr>
              <w:t>沙井街道</w:t>
            </w:r>
          </w:p>
        </w:tc>
        <w:tc>
          <w:tcPr>
            <w:tcW w:w="1393" w:type="pct"/>
            <w:vAlign w:val="center"/>
          </w:tcPr>
          <w:p w14:paraId="7673DEAC">
            <w:pPr>
              <w:spacing w:line="240" w:lineRule="auto"/>
              <w:ind w:firstLine="0" w:firstLineChars="0"/>
              <w:jc w:val="center"/>
              <w:rPr>
                <w:rFonts w:cs="仿宋_GB2312"/>
                <w:color w:val="auto"/>
                <w:sz w:val="28"/>
                <w:szCs w:val="28"/>
                <w:highlight w:val="none"/>
              </w:rPr>
            </w:pPr>
            <w:r>
              <w:rPr>
                <w:rFonts w:hint="eastAsia" w:cs="仿宋_GB2312"/>
                <w:color w:val="auto"/>
                <w:sz w:val="28"/>
                <w:szCs w:val="28"/>
                <w:highlight w:val="none"/>
              </w:rPr>
              <w:t>7</w:t>
            </w:r>
          </w:p>
        </w:tc>
        <w:tc>
          <w:tcPr>
            <w:tcW w:w="1648" w:type="pct"/>
            <w:vMerge w:val="restart"/>
            <w:vAlign w:val="center"/>
          </w:tcPr>
          <w:p w14:paraId="38BF5DB3">
            <w:pPr>
              <w:spacing w:line="240" w:lineRule="auto"/>
              <w:ind w:firstLine="0" w:firstLineChars="0"/>
              <w:jc w:val="center"/>
              <w:rPr>
                <w:rFonts w:hint="default" w:eastAsia="仿宋_GB2312" w:cs="仿宋_GB2312"/>
                <w:color w:val="auto"/>
                <w:sz w:val="28"/>
                <w:szCs w:val="28"/>
                <w:highlight w:val="none"/>
                <w:lang w:val="en-US" w:eastAsia="zh-CN"/>
              </w:rPr>
            </w:pPr>
            <w:r>
              <w:rPr>
                <w:rFonts w:hint="eastAsia" w:cs="仿宋_GB2312"/>
                <w:color w:val="auto"/>
                <w:sz w:val="28"/>
                <w:szCs w:val="28"/>
                <w:highlight w:val="none"/>
                <w:lang w:val="en-US" w:eastAsia="zh-CN"/>
              </w:rPr>
              <w:t>109.34</w:t>
            </w:r>
          </w:p>
        </w:tc>
      </w:tr>
      <w:tr w14:paraId="7D7046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18" w:type="pct"/>
            <w:vAlign w:val="center"/>
          </w:tcPr>
          <w:p w14:paraId="01695A1F">
            <w:pPr>
              <w:spacing w:line="240" w:lineRule="auto"/>
              <w:ind w:firstLine="0" w:firstLineChars="0"/>
              <w:jc w:val="center"/>
              <w:rPr>
                <w:rFonts w:cs="仿宋_GB2312"/>
                <w:color w:val="auto"/>
                <w:sz w:val="28"/>
                <w:szCs w:val="28"/>
                <w:highlight w:val="none"/>
              </w:rPr>
            </w:pPr>
            <w:r>
              <w:rPr>
                <w:rFonts w:hint="eastAsia" w:cs="仿宋_GB2312"/>
                <w:color w:val="auto"/>
                <w:sz w:val="28"/>
                <w:szCs w:val="28"/>
                <w:highlight w:val="none"/>
              </w:rPr>
              <w:t>2</w:t>
            </w:r>
          </w:p>
        </w:tc>
        <w:tc>
          <w:tcPr>
            <w:tcW w:w="380" w:type="pct"/>
            <w:vMerge w:val="continue"/>
            <w:vAlign w:val="center"/>
          </w:tcPr>
          <w:p w14:paraId="18AACC55">
            <w:pPr>
              <w:spacing w:line="240" w:lineRule="auto"/>
              <w:ind w:firstLine="0" w:firstLineChars="0"/>
              <w:jc w:val="center"/>
              <w:rPr>
                <w:rFonts w:cs="仿宋_GB2312"/>
                <w:color w:val="auto"/>
                <w:sz w:val="28"/>
                <w:szCs w:val="28"/>
                <w:highlight w:val="none"/>
              </w:rPr>
            </w:pPr>
          </w:p>
        </w:tc>
        <w:tc>
          <w:tcPr>
            <w:tcW w:w="1059" w:type="pct"/>
            <w:shd w:val="clear" w:color="auto" w:fill="auto"/>
            <w:vAlign w:val="center"/>
          </w:tcPr>
          <w:p w14:paraId="72C71145">
            <w:pPr>
              <w:spacing w:line="240" w:lineRule="auto"/>
              <w:ind w:firstLine="0" w:firstLineChars="0"/>
              <w:jc w:val="center"/>
              <w:rPr>
                <w:rFonts w:cs="仿宋_GB2312"/>
                <w:color w:val="auto"/>
                <w:sz w:val="28"/>
                <w:szCs w:val="28"/>
                <w:highlight w:val="none"/>
              </w:rPr>
            </w:pPr>
            <w:r>
              <w:rPr>
                <w:rFonts w:hint="eastAsia" w:cs="仿宋_GB2312"/>
                <w:color w:val="auto"/>
                <w:sz w:val="28"/>
                <w:szCs w:val="28"/>
                <w:highlight w:val="none"/>
              </w:rPr>
              <w:t>卫东街道</w:t>
            </w:r>
          </w:p>
        </w:tc>
        <w:tc>
          <w:tcPr>
            <w:tcW w:w="1393" w:type="pct"/>
            <w:vAlign w:val="center"/>
          </w:tcPr>
          <w:p w14:paraId="58B94FC0">
            <w:pPr>
              <w:spacing w:line="240" w:lineRule="auto"/>
              <w:ind w:firstLine="0" w:firstLineChars="0"/>
              <w:jc w:val="center"/>
              <w:rPr>
                <w:rFonts w:cs="仿宋_GB2312"/>
                <w:color w:val="auto"/>
                <w:sz w:val="28"/>
                <w:szCs w:val="28"/>
                <w:highlight w:val="none"/>
              </w:rPr>
            </w:pPr>
            <w:r>
              <w:rPr>
                <w:rFonts w:hint="eastAsia" w:cs="仿宋_GB2312"/>
                <w:color w:val="auto"/>
                <w:sz w:val="28"/>
                <w:szCs w:val="28"/>
                <w:highlight w:val="none"/>
              </w:rPr>
              <w:t>14.81</w:t>
            </w:r>
          </w:p>
        </w:tc>
        <w:tc>
          <w:tcPr>
            <w:tcW w:w="1648" w:type="pct"/>
            <w:vMerge w:val="continue"/>
            <w:vAlign w:val="center"/>
          </w:tcPr>
          <w:p w14:paraId="7695FC43">
            <w:pPr>
              <w:spacing w:line="240" w:lineRule="auto"/>
              <w:ind w:firstLine="0" w:firstLineChars="0"/>
              <w:jc w:val="center"/>
              <w:rPr>
                <w:rFonts w:cs="仿宋_GB2312"/>
                <w:color w:val="auto"/>
                <w:sz w:val="28"/>
                <w:szCs w:val="28"/>
                <w:highlight w:val="none"/>
              </w:rPr>
            </w:pPr>
          </w:p>
        </w:tc>
      </w:tr>
      <w:tr w14:paraId="4649A6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18" w:type="pct"/>
            <w:vAlign w:val="center"/>
          </w:tcPr>
          <w:p w14:paraId="7D65BEE6">
            <w:pPr>
              <w:spacing w:line="240" w:lineRule="auto"/>
              <w:ind w:firstLine="0" w:firstLineChars="0"/>
              <w:jc w:val="center"/>
              <w:rPr>
                <w:rFonts w:cs="仿宋_GB2312"/>
                <w:color w:val="auto"/>
                <w:sz w:val="28"/>
                <w:szCs w:val="28"/>
                <w:highlight w:val="none"/>
              </w:rPr>
            </w:pPr>
            <w:r>
              <w:rPr>
                <w:rFonts w:hint="eastAsia" w:cs="仿宋_GB2312"/>
                <w:color w:val="auto"/>
                <w:sz w:val="28"/>
                <w:szCs w:val="28"/>
                <w:highlight w:val="none"/>
              </w:rPr>
              <w:t>3</w:t>
            </w:r>
          </w:p>
        </w:tc>
        <w:tc>
          <w:tcPr>
            <w:tcW w:w="380" w:type="pct"/>
            <w:vMerge w:val="continue"/>
            <w:vAlign w:val="center"/>
          </w:tcPr>
          <w:p w14:paraId="2743FE51">
            <w:pPr>
              <w:spacing w:line="240" w:lineRule="auto"/>
              <w:ind w:firstLine="0" w:firstLineChars="0"/>
              <w:jc w:val="center"/>
              <w:rPr>
                <w:rFonts w:cs="仿宋_GB2312"/>
                <w:color w:val="auto"/>
                <w:sz w:val="28"/>
                <w:szCs w:val="28"/>
                <w:highlight w:val="none"/>
              </w:rPr>
            </w:pPr>
          </w:p>
        </w:tc>
        <w:tc>
          <w:tcPr>
            <w:tcW w:w="1059" w:type="pct"/>
            <w:shd w:val="clear" w:color="auto" w:fill="auto"/>
            <w:vAlign w:val="center"/>
          </w:tcPr>
          <w:p w14:paraId="49A44446">
            <w:pPr>
              <w:spacing w:line="240" w:lineRule="auto"/>
              <w:ind w:firstLine="0" w:firstLineChars="0"/>
              <w:jc w:val="center"/>
              <w:rPr>
                <w:rFonts w:cs="仿宋_GB2312"/>
                <w:color w:val="auto"/>
                <w:sz w:val="28"/>
                <w:szCs w:val="28"/>
                <w:highlight w:val="none"/>
              </w:rPr>
            </w:pPr>
            <w:r>
              <w:rPr>
                <w:rFonts w:hint="eastAsia" w:cs="仿宋_GB2312"/>
                <w:color w:val="auto"/>
                <w:sz w:val="28"/>
                <w:szCs w:val="28"/>
                <w:highlight w:val="none"/>
              </w:rPr>
              <w:t>凤凰洲街道</w:t>
            </w:r>
          </w:p>
        </w:tc>
        <w:tc>
          <w:tcPr>
            <w:tcW w:w="1393" w:type="pct"/>
            <w:vAlign w:val="center"/>
          </w:tcPr>
          <w:p w14:paraId="19878F27">
            <w:pPr>
              <w:spacing w:line="240" w:lineRule="auto"/>
              <w:ind w:firstLine="0" w:firstLineChars="0"/>
              <w:jc w:val="center"/>
              <w:rPr>
                <w:rFonts w:cs="仿宋_GB2312"/>
                <w:color w:val="auto"/>
                <w:sz w:val="28"/>
                <w:szCs w:val="28"/>
                <w:highlight w:val="none"/>
              </w:rPr>
            </w:pPr>
            <w:r>
              <w:rPr>
                <w:rFonts w:hint="eastAsia" w:cs="仿宋_GB2312"/>
                <w:color w:val="auto"/>
                <w:sz w:val="28"/>
                <w:szCs w:val="28"/>
                <w:highlight w:val="none"/>
              </w:rPr>
              <w:t>12.95</w:t>
            </w:r>
          </w:p>
        </w:tc>
        <w:tc>
          <w:tcPr>
            <w:tcW w:w="1648" w:type="pct"/>
            <w:vMerge w:val="continue"/>
            <w:vAlign w:val="center"/>
          </w:tcPr>
          <w:p w14:paraId="111DB3E4">
            <w:pPr>
              <w:spacing w:line="240" w:lineRule="auto"/>
              <w:ind w:firstLine="0" w:firstLineChars="0"/>
              <w:jc w:val="center"/>
              <w:rPr>
                <w:rFonts w:cs="仿宋_GB2312"/>
                <w:color w:val="auto"/>
                <w:sz w:val="28"/>
                <w:szCs w:val="28"/>
                <w:highlight w:val="none"/>
              </w:rPr>
            </w:pPr>
          </w:p>
        </w:tc>
      </w:tr>
      <w:tr w14:paraId="4C7417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18" w:type="pct"/>
            <w:vAlign w:val="center"/>
          </w:tcPr>
          <w:p w14:paraId="7BBC3CDF">
            <w:pPr>
              <w:spacing w:line="240" w:lineRule="auto"/>
              <w:ind w:firstLine="0" w:firstLineChars="0"/>
              <w:jc w:val="center"/>
              <w:rPr>
                <w:rFonts w:cs="仿宋_GB2312"/>
                <w:color w:val="auto"/>
                <w:sz w:val="28"/>
                <w:szCs w:val="28"/>
                <w:highlight w:val="none"/>
              </w:rPr>
            </w:pPr>
            <w:r>
              <w:rPr>
                <w:rFonts w:hint="eastAsia" w:cs="仿宋_GB2312"/>
                <w:color w:val="auto"/>
                <w:sz w:val="28"/>
                <w:szCs w:val="28"/>
                <w:highlight w:val="none"/>
              </w:rPr>
              <w:t>4</w:t>
            </w:r>
          </w:p>
        </w:tc>
        <w:tc>
          <w:tcPr>
            <w:tcW w:w="380" w:type="pct"/>
            <w:vMerge w:val="continue"/>
            <w:vAlign w:val="center"/>
          </w:tcPr>
          <w:p w14:paraId="0C626A8B">
            <w:pPr>
              <w:spacing w:line="240" w:lineRule="auto"/>
              <w:ind w:firstLine="0" w:firstLineChars="0"/>
              <w:jc w:val="center"/>
              <w:rPr>
                <w:rFonts w:cs="仿宋_GB2312"/>
                <w:color w:val="auto"/>
                <w:sz w:val="28"/>
                <w:szCs w:val="28"/>
                <w:highlight w:val="none"/>
              </w:rPr>
            </w:pPr>
          </w:p>
        </w:tc>
        <w:tc>
          <w:tcPr>
            <w:tcW w:w="1059" w:type="pct"/>
            <w:shd w:val="clear" w:color="auto" w:fill="auto"/>
            <w:vAlign w:val="center"/>
          </w:tcPr>
          <w:p w14:paraId="20FB6407">
            <w:pPr>
              <w:spacing w:line="240" w:lineRule="auto"/>
              <w:ind w:firstLine="0" w:firstLineChars="0"/>
              <w:jc w:val="center"/>
              <w:rPr>
                <w:rFonts w:cs="仿宋_GB2312"/>
                <w:color w:val="auto"/>
                <w:sz w:val="28"/>
                <w:szCs w:val="28"/>
                <w:highlight w:val="none"/>
              </w:rPr>
            </w:pPr>
            <w:r>
              <w:rPr>
                <w:rFonts w:hint="eastAsia" w:cs="仿宋_GB2312"/>
                <w:color w:val="auto"/>
                <w:sz w:val="28"/>
                <w:szCs w:val="28"/>
                <w:highlight w:val="none"/>
              </w:rPr>
              <w:t>红角洲街道</w:t>
            </w:r>
          </w:p>
        </w:tc>
        <w:tc>
          <w:tcPr>
            <w:tcW w:w="1393" w:type="pct"/>
            <w:vAlign w:val="center"/>
          </w:tcPr>
          <w:p w14:paraId="7AE3E0C3">
            <w:pPr>
              <w:spacing w:line="240" w:lineRule="auto"/>
              <w:ind w:firstLine="0" w:firstLineChars="0"/>
              <w:jc w:val="center"/>
              <w:rPr>
                <w:rFonts w:cs="仿宋_GB2312"/>
                <w:color w:val="auto"/>
                <w:sz w:val="28"/>
                <w:szCs w:val="28"/>
                <w:highlight w:val="none"/>
              </w:rPr>
            </w:pPr>
            <w:r>
              <w:rPr>
                <w:rFonts w:hint="eastAsia" w:cs="仿宋_GB2312"/>
                <w:color w:val="auto"/>
                <w:sz w:val="28"/>
                <w:szCs w:val="28"/>
                <w:highlight w:val="none"/>
              </w:rPr>
              <w:t>30</w:t>
            </w:r>
          </w:p>
        </w:tc>
        <w:tc>
          <w:tcPr>
            <w:tcW w:w="1648" w:type="pct"/>
            <w:vMerge w:val="continue"/>
            <w:vAlign w:val="center"/>
          </w:tcPr>
          <w:p w14:paraId="2ECD4ED5">
            <w:pPr>
              <w:spacing w:line="240" w:lineRule="auto"/>
              <w:ind w:firstLine="0" w:firstLineChars="0"/>
              <w:jc w:val="center"/>
              <w:rPr>
                <w:rFonts w:cs="仿宋_GB2312"/>
                <w:color w:val="auto"/>
                <w:sz w:val="28"/>
                <w:szCs w:val="28"/>
                <w:highlight w:val="none"/>
              </w:rPr>
            </w:pPr>
          </w:p>
        </w:tc>
      </w:tr>
      <w:tr w14:paraId="5426E5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18" w:type="pct"/>
            <w:vAlign w:val="center"/>
          </w:tcPr>
          <w:p w14:paraId="6826BE5E">
            <w:pPr>
              <w:spacing w:line="240" w:lineRule="auto"/>
              <w:ind w:firstLine="0" w:firstLineChars="0"/>
              <w:jc w:val="center"/>
              <w:rPr>
                <w:rFonts w:cs="仿宋_GB2312"/>
                <w:color w:val="auto"/>
                <w:sz w:val="28"/>
                <w:szCs w:val="28"/>
                <w:highlight w:val="none"/>
              </w:rPr>
            </w:pPr>
            <w:r>
              <w:rPr>
                <w:rFonts w:hint="eastAsia" w:cs="仿宋_GB2312"/>
                <w:color w:val="auto"/>
                <w:sz w:val="28"/>
                <w:szCs w:val="28"/>
                <w:highlight w:val="none"/>
              </w:rPr>
              <w:t>5</w:t>
            </w:r>
          </w:p>
        </w:tc>
        <w:tc>
          <w:tcPr>
            <w:tcW w:w="380" w:type="pct"/>
            <w:vMerge w:val="continue"/>
            <w:vAlign w:val="center"/>
          </w:tcPr>
          <w:p w14:paraId="55D31E82">
            <w:pPr>
              <w:spacing w:line="240" w:lineRule="auto"/>
              <w:ind w:firstLine="0" w:firstLineChars="0"/>
              <w:jc w:val="center"/>
              <w:rPr>
                <w:rFonts w:cs="仿宋_GB2312"/>
                <w:color w:val="auto"/>
                <w:sz w:val="28"/>
                <w:szCs w:val="28"/>
                <w:highlight w:val="none"/>
              </w:rPr>
            </w:pPr>
          </w:p>
        </w:tc>
        <w:tc>
          <w:tcPr>
            <w:tcW w:w="1059" w:type="pct"/>
            <w:shd w:val="clear" w:color="auto" w:fill="auto"/>
            <w:vAlign w:val="center"/>
          </w:tcPr>
          <w:p w14:paraId="5874490A">
            <w:pPr>
              <w:spacing w:line="240" w:lineRule="auto"/>
              <w:ind w:firstLine="0" w:firstLineChars="0"/>
              <w:jc w:val="center"/>
              <w:rPr>
                <w:rFonts w:cs="仿宋_GB2312"/>
                <w:color w:val="auto"/>
                <w:sz w:val="28"/>
                <w:szCs w:val="28"/>
                <w:highlight w:val="none"/>
              </w:rPr>
            </w:pPr>
            <w:r>
              <w:rPr>
                <w:rFonts w:hint="eastAsia" w:cs="仿宋_GB2312"/>
                <w:color w:val="auto"/>
                <w:sz w:val="28"/>
                <w:szCs w:val="28"/>
                <w:highlight w:val="none"/>
              </w:rPr>
              <w:t>九龙湖街道</w:t>
            </w:r>
          </w:p>
        </w:tc>
        <w:tc>
          <w:tcPr>
            <w:tcW w:w="1393" w:type="pct"/>
            <w:vAlign w:val="center"/>
          </w:tcPr>
          <w:p w14:paraId="121A7986">
            <w:pPr>
              <w:spacing w:line="240" w:lineRule="auto"/>
              <w:ind w:firstLine="0" w:firstLineChars="0"/>
              <w:jc w:val="center"/>
              <w:rPr>
                <w:rFonts w:cs="仿宋_GB2312"/>
                <w:color w:val="auto"/>
                <w:sz w:val="28"/>
                <w:szCs w:val="28"/>
                <w:highlight w:val="none"/>
              </w:rPr>
            </w:pPr>
            <w:r>
              <w:rPr>
                <w:rFonts w:hint="eastAsia" w:cs="仿宋_GB2312"/>
                <w:color w:val="auto"/>
                <w:sz w:val="28"/>
                <w:szCs w:val="28"/>
                <w:highlight w:val="none"/>
              </w:rPr>
              <w:t>23</w:t>
            </w:r>
          </w:p>
        </w:tc>
        <w:tc>
          <w:tcPr>
            <w:tcW w:w="1648" w:type="pct"/>
            <w:vMerge w:val="continue"/>
            <w:vAlign w:val="center"/>
          </w:tcPr>
          <w:p w14:paraId="448A7E8D">
            <w:pPr>
              <w:spacing w:line="240" w:lineRule="auto"/>
              <w:ind w:firstLine="0" w:firstLineChars="0"/>
              <w:jc w:val="center"/>
              <w:rPr>
                <w:rFonts w:cs="仿宋_GB2312"/>
                <w:color w:val="auto"/>
                <w:sz w:val="28"/>
                <w:szCs w:val="28"/>
                <w:highlight w:val="none"/>
              </w:rPr>
            </w:pPr>
          </w:p>
        </w:tc>
      </w:tr>
      <w:tr w14:paraId="602341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23" w:hRule="atLeast"/>
        </w:trPr>
        <w:tc>
          <w:tcPr>
            <w:tcW w:w="518" w:type="pct"/>
            <w:vAlign w:val="center"/>
          </w:tcPr>
          <w:p w14:paraId="549FA710">
            <w:pPr>
              <w:spacing w:line="240" w:lineRule="auto"/>
              <w:ind w:firstLine="0" w:firstLineChars="0"/>
              <w:jc w:val="center"/>
              <w:rPr>
                <w:rFonts w:cs="仿宋_GB2312"/>
                <w:color w:val="auto"/>
                <w:sz w:val="28"/>
                <w:szCs w:val="28"/>
                <w:highlight w:val="none"/>
              </w:rPr>
            </w:pPr>
            <w:r>
              <w:rPr>
                <w:rFonts w:hint="eastAsia" w:cs="仿宋_GB2312"/>
                <w:color w:val="auto"/>
                <w:sz w:val="28"/>
                <w:szCs w:val="28"/>
                <w:highlight w:val="none"/>
              </w:rPr>
              <w:t>6</w:t>
            </w:r>
          </w:p>
        </w:tc>
        <w:tc>
          <w:tcPr>
            <w:tcW w:w="380" w:type="pct"/>
            <w:vMerge w:val="continue"/>
            <w:vAlign w:val="center"/>
          </w:tcPr>
          <w:p w14:paraId="13737CCC">
            <w:pPr>
              <w:spacing w:line="240" w:lineRule="auto"/>
              <w:ind w:firstLine="0" w:firstLineChars="0"/>
              <w:jc w:val="center"/>
              <w:rPr>
                <w:rFonts w:cs="仿宋_GB2312"/>
                <w:color w:val="auto"/>
                <w:sz w:val="28"/>
                <w:szCs w:val="28"/>
                <w:highlight w:val="none"/>
              </w:rPr>
            </w:pPr>
          </w:p>
        </w:tc>
        <w:tc>
          <w:tcPr>
            <w:tcW w:w="1059" w:type="pct"/>
            <w:shd w:val="clear" w:color="auto" w:fill="auto"/>
            <w:vAlign w:val="center"/>
          </w:tcPr>
          <w:p w14:paraId="36C84B0A">
            <w:pPr>
              <w:spacing w:line="240" w:lineRule="auto"/>
              <w:ind w:firstLine="0" w:firstLineChars="0"/>
              <w:jc w:val="center"/>
              <w:rPr>
                <w:rFonts w:cs="仿宋_GB2312"/>
                <w:color w:val="auto"/>
                <w:sz w:val="28"/>
                <w:szCs w:val="28"/>
                <w:highlight w:val="none"/>
              </w:rPr>
            </w:pPr>
            <w:r>
              <w:rPr>
                <w:rFonts w:hint="eastAsia" w:cs="仿宋_GB2312"/>
                <w:color w:val="auto"/>
                <w:sz w:val="28"/>
                <w:szCs w:val="28"/>
                <w:highlight w:val="none"/>
              </w:rPr>
              <w:t>龙兴街道</w:t>
            </w:r>
          </w:p>
        </w:tc>
        <w:tc>
          <w:tcPr>
            <w:tcW w:w="1393" w:type="pct"/>
            <w:vAlign w:val="center"/>
          </w:tcPr>
          <w:p w14:paraId="7E393967">
            <w:pPr>
              <w:spacing w:line="240" w:lineRule="auto"/>
              <w:ind w:firstLine="0" w:firstLineChars="0"/>
              <w:jc w:val="center"/>
              <w:rPr>
                <w:rFonts w:cs="仿宋_GB2312"/>
                <w:color w:val="auto"/>
                <w:sz w:val="28"/>
                <w:szCs w:val="28"/>
                <w:highlight w:val="none"/>
              </w:rPr>
            </w:pPr>
            <w:r>
              <w:rPr>
                <w:rFonts w:hint="eastAsia" w:cs="仿宋_GB2312"/>
                <w:color w:val="auto"/>
                <w:sz w:val="28"/>
                <w:szCs w:val="28"/>
                <w:highlight w:val="none"/>
              </w:rPr>
              <w:t>36.99</w:t>
            </w:r>
          </w:p>
        </w:tc>
        <w:tc>
          <w:tcPr>
            <w:tcW w:w="1648" w:type="pct"/>
            <w:vMerge w:val="continue"/>
            <w:vAlign w:val="center"/>
          </w:tcPr>
          <w:p w14:paraId="55D89A85">
            <w:pPr>
              <w:spacing w:line="240" w:lineRule="auto"/>
              <w:ind w:firstLine="0" w:firstLineChars="0"/>
              <w:jc w:val="center"/>
              <w:rPr>
                <w:rFonts w:cs="仿宋_GB2312"/>
                <w:color w:val="auto"/>
                <w:sz w:val="28"/>
                <w:szCs w:val="28"/>
                <w:highlight w:val="none"/>
              </w:rPr>
            </w:pPr>
          </w:p>
        </w:tc>
      </w:tr>
      <w:tr w14:paraId="745E91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18" w:type="pct"/>
            <w:vAlign w:val="center"/>
          </w:tcPr>
          <w:p w14:paraId="03AC1BC6">
            <w:pPr>
              <w:spacing w:line="240" w:lineRule="auto"/>
              <w:ind w:firstLine="0" w:firstLineChars="0"/>
              <w:jc w:val="center"/>
              <w:rPr>
                <w:rFonts w:cs="仿宋_GB2312"/>
                <w:color w:val="auto"/>
                <w:sz w:val="28"/>
                <w:szCs w:val="28"/>
                <w:highlight w:val="none"/>
              </w:rPr>
            </w:pPr>
            <w:r>
              <w:rPr>
                <w:rFonts w:hint="eastAsia" w:cs="仿宋_GB2312"/>
                <w:color w:val="auto"/>
                <w:sz w:val="28"/>
                <w:szCs w:val="28"/>
                <w:highlight w:val="none"/>
              </w:rPr>
              <w:t>7</w:t>
            </w:r>
          </w:p>
        </w:tc>
        <w:tc>
          <w:tcPr>
            <w:tcW w:w="1439" w:type="pct"/>
            <w:gridSpan w:val="2"/>
            <w:vAlign w:val="center"/>
          </w:tcPr>
          <w:p w14:paraId="3CDEBEB6">
            <w:pPr>
              <w:spacing w:line="240" w:lineRule="auto"/>
              <w:ind w:firstLine="0" w:firstLineChars="0"/>
              <w:jc w:val="center"/>
              <w:rPr>
                <w:rFonts w:cs="仿宋_GB2312"/>
                <w:color w:val="auto"/>
                <w:sz w:val="28"/>
                <w:szCs w:val="28"/>
                <w:highlight w:val="none"/>
              </w:rPr>
            </w:pPr>
            <w:r>
              <w:rPr>
                <w:rFonts w:hint="eastAsia" w:cs="仿宋_GB2312"/>
                <w:color w:val="auto"/>
                <w:sz w:val="28"/>
                <w:szCs w:val="28"/>
                <w:highlight w:val="none"/>
              </w:rPr>
              <w:t>生米街道</w:t>
            </w:r>
          </w:p>
        </w:tc>
        <w:tc>
          <w:tcPr>
            <w:tcW w:w="1393" w:type="pct"/>
            <w:vAlign w:val="center"/>
          </w:tcPr>
          <w:p w14:paraId="5128374C">
            <w:pPr>
              <w:spacing w:line="240" w:lineRule="auto"/>
              <w:ind w:firstLine="0" w:firstLineChars="0"/>
              <w:jc w:val="center"/>
              <w:rPr>
                <w:rFonts w:cs="仿宋_GB2312"/>
                <w:color w:val="auto"/>
                <w:sz w:val="28"/>
                <w:szCs w:val="28"/>
                <w:highlight w:val="none"/>
              </w:rPr>
            </w:pPr>
            <w:r>
              <w:rPr>
                <w:rFonts w:hint="eastAsia" w:cs="仿宋_GB2312"/>
                <w:color w:val="auto"/>
                <w:sz w:val="28"/>
                <w:szCs w:val="28"/>
                <w:highlight w:val="none"/>
              </w:rPr>
              <w:t>70</w:t>
            </w:r>
          </w:p>
        </w:tc>
        <w:tc>
          <w:tcPr>
            <w:tcW w:w="1648" w:type="pct"/>
            <w:vAlign w:val="center"/>
          </w:tcPr>
          <w:p w14:paraId="638503F5">
            <w:pPr>
              <w:spacing w:line="240" w:lineRule="auto"/>
              <w:ind w:firstLine="0" w:firstLineChars="0"/>
              <w:jc w:val="center"/>
              <w:rPr>
                <w:rFonts w:hint="default" w:eastAsia="仿宋_GB2312" w:cs="仿宋_GB2312"/>
                <w:color w:val="auto"/>
                <w:sz w:val="28"/>
                <w:szCs w:val="28"/>
                <w:highlight w:val="none"/>
                <w:lang w:val="en-US" w:eastAsia="zh-CN"/>
              </w:rPr>
            </w:pPr>
            <w:r>
              <w:rPr>
                <w:rFonts w:hint="eastAsia" w:cs="仿宋_GB2312"/>
                <w:color w:val="auto"/>
                <w:sz w:val="28"/>
                <w:szCs w:val="28"/>
                <w:highlight w:val="none"/>
                <w:lang w:val="en-US" w:eastAsia="zh-CN"/>
              </w:rPr>
              <w:t>26.90</w:t>
            </w:r>
          </w:p>
        </w:tc>
      </w:tr>
      <w:tr w14:paraId="0F355A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18" w:type="pct"/>
            <w:vAlign w:val="center"/>
          </w:tcPr>
          <w:p w14:paraId="2775BEF9">
            <w:pPr>
              <w:spacing w:line="240" w:lineRule="auto"/>
              <w:ind w:firstLine="0" w:firstLineChars="0"/>
              <w:jc w:val="center"/>
              <w:rPr>
                <w:rFonts w:cs="仿宋_GB2312"/>
                <w:color w:val="auto"/>
                <w:sz w:val="28"/>
                <w:szCs w:val="28"/>
                <w:highlight w:val="none"/>
              </w:rPr>
            </w:pPr>
            <w:r>
              <w:rPr>
                <w:rFonts w:hint="eastAsia" w:cs="仿宋_GB2312"/>
                <w:color w:val="auto"/>
                <w:sz w:val="28"/>
                <w:szCs w:val="28"/>
                <w:highlight w:val="none"/>
              </w:rPr>
              <w:t>8</w:t>
            </w:r>
          </w:p>
        </w:tc>
        <w:tc>
          <w:tcPr>
            <w:tcW w:w="1439" w:type="pct"/>
            <w:gridSpan w:val="2"/>
            <w:vAlign w:val="center"/>
          </w:tcPr>
          <w:p w14:paraId="551668F5">
            <w:pPr>
              <w:spacing w:line="240" w:lineRule="auto"/>
              <w:ind w:firstLine="0" w:firstLineChars="0"/>
              <w:jc w:val="center"/>
              <w:rPr>
                <w:rFonts w:cs="仿宋_GB2312"/>
                <w:color w:val="auto"/>
                <w:sz w:val="28"/>
                <w:szCs w:val="28"/>
                <w:highlight w:val="none"/>
              </w:rPr>
            </w:pPr>
            <w:r>
              <w:rPr>
                <w:rFonts w:hint="eastAsia" w:cs="仿宋_GB2312"/>
                <w:color w:val="auto"/>
                <w:sz w:val="28"/>
                <w:szCs w:val="28"/>
                <w:highlight w:val="none"/>
              </w:rPr>
              <w:t>厚田镇</w:t>
            </w:r>
          </w:p>
        </w:tc>
        <w:tc>
          <w:tcPr>
            <w:tcW w:w="1393" w:type="pct"/>
            <w:vAlign w:val="center"/>
          </w:tcPr>
          <w:p w14:paraId="6244CCAC">
            <w:pPr>
              <w:spacing w:line="240" w:lineRule="auto"/>
              <w:ind w:firstLine="0" w:firstLineChars="0"/>
              <w:jc w:val="center"/>
              <w:rPr>
                <w:rFonts w:cs="仿宋_GB2312"/>
                <w:color w:val="auto"/>
                <w:sz w:val="28"/>
                <w:szCs w:val="28"/>
                <w:highlight w:val="none"/>
              </w:rPr>
            </w:pPr>
            <w:r>
              <w:rPr>
                <w:rFonts w:hint="eastAsia" w:cs="仿宋_GB2312"/>
                <w:color w:val="auto"/>
                <w:sz w:val="28"/>
                <w:szCs w:val="28"/>
                <w:highlight w:val="none"/>
              </w:rPr>
              <w:t>77</w:t>
            </w:r>
          </w:p>
        </w:tc>
        <w:tc>
          <w:tcPr>
            <w:tcW w:w="1648" w:type="pct"/>
            <w:vAlign w:val="center"/>
          </w:tcPr>
          <w:p w14:paraId="0A6A1D48">
            <w:pPr>
              <w:spacing w:line="240" w:lineRule="auto"/>
              <w:ind w:firstLine="0" w:firstLineChars="0"/>
              <w:jc w:val="center"/>
              <w:rPr>
                <w:rFonts w:hint="default" w:eastAsia="仿宋_GB2312" w:cs="仿宋_GB2312"/>
                <w:color w:val="auto"/>
                <w:sz w:val="28"/>
                <w:szCs w:val="28"/>
                <w:highlight w:val="none"/>
                <w:lang w:val="en-US" w:eastAsia="zh-CN"/>
              </w:rPr>
            </w:pPr>
            <w:r>
              <w:rPr>
                <w:rFonts w:hint="eastAsia" w:cs="仿宋_GB2312"/>
                <w:color w:val="auto"/>
                <w:sz w:val="28"/>
                <w:szCs w:val="28"/>
                <w:highlight w:val="none"/>
                <w:lang w:val="en-US" w:eastAsia="zh-CN"/>
              </w:rPr>
              <w:t>5.05</w:t>
            </w:r>
          </w:p>
        </w:tc>
      </w:tr>
      <w:tr w14:paraId="2196A5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23" w:hRule="atLeast"/>
        </w:trPr>
        <w:tc>
          <w:tcPr>
            <w:tcW w:w="518" w:type="pct"/>
            <w:vAlign w:val="center"/>
          </w:tcPr>
          <w:p w14:paraId="02A00099">
            <w:pPr>
              <w:spacing w:line="240" w:lineRule="auto"/>
              <w:ind w:firstLine="0" w:firstLineChars="0"/>
              <w:jc w:val="center"/>
              <w:rPr>
                <w:rFonts w:cs="仿宋_GB2312"/>
                <w:color w:val="auto"/>
                <w:sz w:val="28"/>
                <w:szCs w:val="28"/>
                <w:highlight w:val="none"/>
              </w:rPr>
            </w:pPr>
            <w:r>
              <w:rPr>
                <w:rFonts w:hint="eastAsia" w:cs="仿宋_GB2312"/>
                <w:color w:val="auto"/>
                <w:sz w:val="28"/>
                <w:szCs w:val="28"/>
                <w:highlight w:val="none"/>
              </w:rPr>
              <w:t>9</w:t>
            </w:r>
          </w:p>
        </w:tc>
        <w:tc>
          <w:tcPr>
            <w:tcW w:w="1439" w:type="pct"/>
            <w:gridSpan w:val="2"/>
            <w:vAlign w:val="center"/>
          </w:tcPr>
          <w:p w14:paraId="079C3FF8">
            <w:pPr>
              <w:spacing w:line="240" w:lineRule="auto"/>
              <w:ind w:firstLine="0" w:firstLineChars="0"/>
              <w:jc w:val="center"/>
              <w:rPr>
                <w:rFonts w:cs="仿宋_GB2312"/>
                <w:color w:val="auto"/>
                <w:sz w:val="28"/>
                <w:szCs w:val="28"/>
                <w:highlight w:val="none"/>
              </w:rPr>
            </w:pPr>
            <w:r>
              <w:rPr>
                <w:rFonts w:hint="eastAsia" w:cs="仿宋_GB2312"/>
                <w:color w:val="auto"/>
                <w:sz w:val="28"/>
                <w:szCs w:val="28"/>
                <w:highlight w:val="none"/>
              </w:rPr>
              <w:t>流湖镇</w:t>
            </w:r>
          </w:p>
        </w:tc>
        <w:tc>
          <w:tcPr>
            <w:tcW w:w="1393" w:type="pct"/>
            <w:vAlign w:val="center"/>
          </w:tcPr>
          <w:p w14:paraId="6769728F">
            <w:pPr>
              <w:spacing w:line="240" w:lineRule="auto"/>
              <w:ind w:firstLine="0" w:firstLineChars="0"/>
              <w:jc w:val="center"/>
              <w:rPr>
                <w:rFonts w:cs="仿宋_GB2312"/>
                <w:color w:val="auto"/>
                <w:sz w:val="28"/>
                <w:szCs w:val="28"/>
                <w:highlight w:val="none"/>
              </w:rPr>
            </w:pPr>
            <w:r>
              <w:rPr>
                <w:rFonts w:hint="eastAsia" w:cs="仿宋_GB2312"/>
                <w:color w:val="auto"/>
                <w:sz w:val="28"/>
                <w:szCs w:val="28"/>
                <w:highlight w:val="none"/>
              </w:rPr>
              <w:t>132.64</w:t>
            </w:r>
          </w:p>
        </w:tc>
        <w:tc>
          <w:tcPr>
            <w:tcW w:w="1648" w:type="pct"/>
            <w:vAlign w:val="center"/>
          </w:tcPr>
          <w:p w14:paraId="7593861F">
            <w:pPr>
              <w:spacing w:line="240" w:lineRule="auto"/>
              <w:ind w:firstLine="0" w:firstLineChars="0"/>
              <w:jc w:val="center"/>
              <w:rPr>
                <w:rFonts w:hint="default" w:eastAsia="仿宋_GB2312" w:cs="仿宋_GB2312"/>
                <w:color w:val="auto"/>
                <w:sz w:val="28"/>
                <w:szCs w:val="28"/>
                <w:highlight w:val="none"/>
                <w:lang w:val="en-US" w:eastAsia="zh-CN"/>
              </w:rPr>
            </w:pPr>
            <w:r>
              <w:rPr>
                <w:rFonts w:hint="eastAsia" w:cs="仿宋_GB2312"/>
                <w:color w:val="auto"/>
                <w:sz w:val="28"/>
                <w:szCs w:val="28"/>
                <w:highlight w:val="none"/>
                <w:lang w:val="en-US" w:eastAsia="zh-CN"/>
              </w:rPr>
              <w:t>2.73</w:t>
            </w:r>
          </w:p>
        </w:tc>
      </w:tr>
      <w:tr w14:paraId="7F8DAE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58" w:type="pct"/>
            <w:gridSpan w:val="3"/>
            <w:vAlign w:val="center"/>
          </w:tcPr>
          <w:p w14:paraId="57D9B8B1">
            <w:pPr>
              <w:spacing w:line="240" w:lineRule="auto"/>
              <w:ind w:firstLine="0" w:firstLineChars="0"/>
              <w:jc w:val="center"/>
              <w:rPr>
                <w:rFonts w:cs="仿宋_GB2312"/>
                <w:color w:val="auto"/>
                <w:sz w:val="28"/>
                <w:szCs w:val="28"/>
                <w:highlight w:val="none"/>
              </w:rPr>
            </w:pPr>
            <w:r>
              <w:rPr>
                <w:rFonts w:hint="eastAsia" w:cs="仿宋_GB2312"/>
                <w:color w:val="auto"/>
                <w:sz w:val="28"/>
                <w:szCs w:val="28"/>
                <w:highlight w:val="none"/>
              </w:rPr>
              <w:t>合计</w:t>
            </w:r>
          </w:p>
        </w:tc>
        <w:tc>
          <w:tcPr>
            <w:tcW w:w="1393" w:type="pct"/>
            <w:vAlign w:val="center"/>
          </w:tcPr>
          <w:p w14:paraId="46231D89">
            <w:pPr>
              <w:spacing w:line="240" w:lineRule="auto"/>
              <w:ind w:firstLine="0" w:firstLineChars="0"/>
              <w:jc w:val="center"/>
              <w:rPr>
                <w:rFonts w:cs="仿宋_GB2312"/>
                <w:color w:val="auto"/>
                <w:sz w:val="28"/>
                <w:szCs w:val="28"/>
                <w:highlight w:val="none"/>
              </w:rPr>
            </w:pPr>
            <w:r>
              <w:rPr>
                <w:rFonts w:hint="eastAsia" w:cs="仿宋_GB2312"/>
                <w:color w:val="auto"/>
                <w:sz w:val="28"/>
                <w:szCs w:val="28"/>
                <w:highlight w:val="none"/>
              </w:rPr>
              <w:t>404.39</w:t>
            </w:r>
          </w:p>
        </w:tc>
        <w:tc>
          <w:tcPr>
            <w:tcW w:w="1648" w:type="pct"/>
            <w:vAlign w:val="center"/>
          </w:tcPr>
          <w:p w14:paraId="5443522C">
            <w:pPr>
              <w:spacing w:line="240" w:lineRule="auto"/>
              <w:ind w:firstLine="0" w:firstLineChars="0"/>
              <w:jc w:val="center"/>
              <w:rPr>
                <w:rFonts w:hint="default" w:eastAsia="仿宋_GB2312" w:cs="仿宋_GB2312"/>
                <w:color w:val="auto"/>
                <w:sz w:val="28"/>
                <w:szCs w:val="28"/>
                <w:highlight w:val="none"/>
                <w:lang w:val="en-US" w:eastAsia="zh-CN"/>
              </w:rPr>
            </w:pPr>
            <w:r>
              <w:rPr>
                <w:rFonts w:hint="eastAsia" w:cs="仿宋_GB2312"/>
                <w:color w:val="auto"/>
                <w:sz w:val="28"/>
                <w:szCs w:val="28"/>
                <w:highlight w:val="none"/>
                <w:lang w:val="en-US" w:eastAsia="zh-CN"/>
              </w:rPr>
              <w:t>144.02</w:t>
            </w:r>
          </w:p>
        </w:tc>
      </w:tr>
      <w:tr w14:paraId="0618F8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000" w:type="pct"/>
            <w:gridSpan w:val="5"/>
            <w:vAlign w:val="center"/>
          </w:tcPr>
          <w:p w14:paraId="12222D34">
            <w:pPr>
              <w:spacing w:line="240" w:lineRule="auto"/>
              <w:ind w:firstLine="0" w:firstLineChars="0"/>
              <w:rPr>
                <w:rFonts w:hint="default" w:eastAsia="仿宋_GB2312" w:cs="仿宋_GB2312"/>
                <w:color w:val="auto"/>
                <w:sz w:val="28"/>
                <w:szCs w:val="28"/>
                <w:highlight w:val="none"/>
                <w:lang w:val="en-US" w:eastAsia="zh-CN"/>
              </w:rPr>
            </w:pPr>
            <w:r>
              <w:rPr>
                <w:rFonts w:hint="eastAsia" w:cs="仿宋_GB2312"/>
                <w:color w:val="auto"/>
                <w:sz w:val="21"/>
                <w:szCs w:val="21"/>
                <w:highlight w:val="none"/>
                <w:lang w:val="en-US" w:eastAsia="zh-CN"/>
              </w:rPr>
              <w:t>备注：具体禁养区范围以附图及矢量文件为准。</w:t>
            </w:r>
          </w:p>
        </w:tc>
      </w:tr>
    </w:tbl>
    <w:p w14:paraId="3EA279E9">
      <w:pPr>
        <w:pStyle w:val="3"/>
        <w:bidi w:val="0"/>
        <w:rPr>
          <w:rFonts w:hint="eastAsia" w:cs="仿宋_GB2312"/>
          <w:color w:val="auto"/>
          <w:highlight w:val="none"/>
          <w:lang w:val="en-US" w:eastAsia="zh-CN"/>
        </w:rPr>
      </w:pPr>
      <w:bookmarkStart w:id="2" w:name="_Toc16788"/>
      <w:r>
        <w:rPr>
          <w:rFonts w:hint="eastAsia" w:ascii="仿宋_GB2312" w:hAnsi="仿宋_GB2312" w:eastAsia="仿宋_GB2312" w:cs="仿宋_GB2312"/>
          <w:color w:val="auto"/>
          <w:highlight w:val="none"/>
          <w:lang w:val="en-US" w:eastAsia="zh-CN"/>
        </w:rPr>
        <w:t>5</w:t>
      </w:r>
      <w:r>
        <w:rPr>
          <w:rFonts w:hint="eastAsia" w:ascii="仿宋_GB2312" w:hAnsi="仿宋_GB2312" w:eastAsia="仿宋_GB2312" w:cs="仿宋_GB2312"/>
          <w:color w:val="auto"/>
          <w:highlight w:val="none"/>
        </w:rPr>
        <w:t>.</w:t>
      </w:r>
      <w:r>
        <w:rPr>
          <w:rFonts w:hint="eastAsia" w:ascii="仿宋_GB2312" w:hAnsi="仿宋_GB2312" w:eastAsia="仿宋_GB2312" w:cs="仿宋_GB2312"/>
          <w:color w:val="auto"/>
          <w:highlight w:val="none"/>
          <w:lang w:val="en-US" w:eastAsia="zh-CN"/>
        </w:rPr>
        <w:t>3</w:t>
      </w:r>
      <w:r>
        <w:rPr>
          <w:rFonts w:hint="eastAsia" w:cs="仿宋_GB2312"/>
          <w:color w:val="auto"/>
          <w:highlight w:val="none"/>
          <w:lang w:val="en-US" w:eastAsia="zh-CN"/>
        </w:rPr>
        <w:t xml:space="preserve"> 赣江、锦江河道禁养区</w:t>
      </w:r>
      <w:bookmarkEnd w:id="2"/>
    </w:p>
    <w:p w14:paraId="6E62F2C3">
      <w:pPr>
        <w:bidi w:val="0"/>
        <w:rPr>
          <w:rFonts w:hint="eastAsia"/>
          <w:color w:val="auto"/>
          <w:sz w:val="28"/>
          <w:szCs w:val="28"/>
          <w:highlight w:val="none"/>
          <w:lang w:val="en-US" w:eastAsia="zh-CN"/>
        </w:rPr>
      </w:pPr>
      <w:r>
        <w:rPr>
          <w:rFonts w:hint="eastAsia"/>
          <w:color w:val="auto"/>
          <w:sz w:val="28"/>
          <w:szCs w:val="28"/>
          <w:highlight w:val="none"/>
          <w:lang w:val="en-US" w:eastAsia="zh-CN"/>
        </w:rPr>
        <w:t>赣江、锦江是红谷滩区境内两条重要的河流水系。赣江自南向北贯穿区境，是鄱阳湖流域第一大河，也是南昌市的主要饮用水水源和城市发展的生态命脉；锦江作为赣江左岸重要的一级支流，于厚田镇境内汇入赣江，是红谷滩区南部重要的自然生态廊道。两条河流承担着城市供水、行洪排涝、生态涵养、景观休闲等综合功能，其水生态环境质量直接关系全区饮用水安全、城市防洪安全和生态系统健康。</w:t>
      </w:r>
    </w:p>
    <w:p w14:paraId="45F256AB">
      <w:pPr>
        <w:bidi w:val="0"/>
        <w:rPr>
          <w:rFonts w:hint="eastAsia"/>
          <w:color w:val="auto"/>
          <w:sz w:val="28"/>
          <w:szCs w:val="28"/>
          <w:highlight w:val="none"/>
          <w:lang w:val="en-US" w:eastAsia="zh-CN"/>
        </w:rPr>
      </w:pPr>
      <w:r>
        <w:rPr>
          <w:rFonts w:hint="eastAsia"/>
          <w:color w:val="auto"/>
          <w:sz w:val="28"/>
          <w:szCs w:val="28"/>
          <w:highlight w:val="none"/>
          <w:lang w:val="en-US" w:eastAsia="zh-CN"/>
        </w:rPr>
        <w:t>根据《畜禽养殖禁养区划定技术指南》，禁养区划定应兼顾重要河流岸带等对水环境影响较大的区域。本次划定严格依据《中华人民共和国河道管理条例》关于河道管理范围的规定，以堤防临水侧堤顶线为准线，科学划定赣江、锦江河道禁养区，为加强河道水生态环境保护提供了精准管控边界。</w:t>
      </w:r>
    </w:p>
    <w:p w14:paraId="56373AD4">
      <w:pPr>
        <w:pStyle w:val="4"/>
        <w:bidi w:val="0"/>
        <w:rPr>
          <w:rFonts w:hint="eastAsia"/>
          <w:color w:val="auto"/>
          <w:highlight w:val="none"/>
          <w:lang w:val="en-US" w:eastAsia="zh-CN"/>
        </w:rPr>
      </w:pPr>
      <w:r>
        <w:rPr>
          <w:rFonts w:hint="eastAsia"/>
          <w:color w:val="auto"/>
          <w:highlight w:val="none"/>
          <w:lang w:val="en-US" w:eastAsia="zh-CN"/>
        </w:rPr>
        <w:t>5.3.1赣江</w:t>
      </w:r>
    </w:p>
    <w:p w14:paraId="408D9AD2">
      <w:pPr>
        <w:bidi w:val="0"/>
        <w:rPr>
          <w:rFonts w:hint="default"/>
          <w:color w:val="auto"/>
          <w:sz w:val="28"/>
          <w:szCs w:val="28"/>
          <w:highlight w:val="none"/>
          <w:lang w:val="en-US" w:eastAsia="zh-CN"/>
        </w:rPr>
      </w:pPr>
      <w:r>
        <w:rPr>
          <w:rFonts w:hint="default"/>
          <w:color w:val="auto"/>
          <w:sz w:val="28"/>
          <w:szCs w:val="28"/>
          <w:highlight w:val="none"/>
          <w:lang w:val="en-US" w:eastAsia="zh-CN"/>
        </w:rPr>
        <w:t>赣江是长江主要支流之一，江西省最大河流。源出赣闽边界武夷山西麓，自南向北纵贯全省，全长766km，流域面积83500k</w:t>
      </w:r>
      <w:r>
        <w:rPr>
          <w:rFonts w:hint="eastAsia"/>
          <w:color w:val="auto"/>
          <w:sz w:val="28"/>
          <w:szCs w:val="28"/>
          <w:highlight w:val="none"/>
          <w:lang w:val="en-US" w:eastAsia="zh-CN"/>
        </w:rPr>
        <w:t>m</w:t>
      </w:r>
      <w:r>
        <w:rPr>
          <w:rFonts w:hint="eastAsia"/>
          <w:color w:val="auto"/>
          <w:sz w:val="28"/>
          <w:szCs w:val="28"/>
          <w:highlight w:val="none"/>
          <w:vertAlign w:val="superscript"/>
          <w:lang w:val="en-US" w:eastAsia="zh-CN"/>
        </w:rPr>
        <w:t>2</w:t>
      </w:r>
      <w:r>
        <w:rPr>
          <w:rFonts w:hint="eastAsia"/>
          <w:color w:val="auto"/>
          <w:sz w:val="28"/>
          <w:szCs w:val="28"/>
          <w:highlight w:val="none"/>
          <w:lang w:val="en-US" w:eastAsia="zh-CN"/>
        </w:rPr>
        <w:t>，</w:t>
      </w:r>
      <w:r>
        <w:rPr>
          <w:rFonts w:hint="default"/>
          <w:color w:val="auto"/>
          <w:sz w:val="28"/>
          <w:szCs w:val="28"/>
          <w:highlight w:val="none"/>
          <w:lang w:val="en-US" w:eastAsia="zh-CN"/>
        </w:rPr>
        <w:t>赣江是红谷滩区境内最主要的过境河流，自南向北贯穿区境，经厚田镇、生米街道、九龙湖街道、红角洲街道、卫东街道、沙井街道、凤凰洲街道等流入鄱阳湖，红谷滩区境内河道长度40余千米</w:t>
      </w:r>
      <w:r>
        <w:rPr>
          <w:rFonts w:hint="eastAsia"/>
          <w:color w:val="auto"/>
          <w:sz w:val="28"/>
          <w:szCs w:val="28"/>
          <w:highlight w:val="none"/>
          <w:lang w:val="en-US" w:eastAsia="zh-CN"/>
        </w:rPr>
        <w:t>，</w:t>
      </w:r>
      <w:r>
        <w:rPr>
          <w:rFonts w:hint="default"/>
          <w:color w:val="auto"/>
          <w:sz w:val="28"/>
          <w:szCs w:val="28"/>
          <w:highlight w:val="none"/>
          <w:lang w:val="en-US" w:eastAsia="zh-CN"/>
        </w:rPr>
        <w:t>赣江两岸筑有江堤，属有堤防河道。</w:t>
      </w:r>
    </w:p>
    <w:p w14:paraId="639CC26D">
      <w:pPr>
        <w:bidi w:val="0"/>
        <w:rPr>
          <w:rFonts w:hint="default"/>
          <w:color w:val="auto"/>
          <w:sz w:val="28"/>
          <w:szCs w:val="28"/>
          <w:highlight w:val="none"/>
          <w:lang w:val="en-US" w:eastAsia="zh-CN"/>
        </w:rPr>
      </w:pPr>
      <w:r>
        <w:rPr>
          <w:rFonts w:hint="default"/>
          <w:color w:val="auto"/>
          <w:sz w:val="28"/>
          <w:szCs w:val="28"/>
          <w:highlight w:val="none"/>
          <w:lang w:val="en-US" w:eastAsia="zh-CN"/>
        </w:rPr>
        <w:t>赣江河道禁养区以堤防临水侧堤顶线为基准，向河道中心线方向延伸至红谷滩区行政边界，划定范围</w:t>
      </w:r>
      <w:r>
        <w:rPr>
          <w:rFonts w:hint="eastAsia"/>
          <w:color w:val="auto"/>
          <w:sz w:val="28"/>
          <w:szCs w:val="28"/>
          <w:highlight w:val="none"/>
          <w:lang w:val="en-US" w:eastAsia="zh-CN"/>
        </w:rPr>
        <w:t>包括</w:t>
      </w:r>
      <w:r>
        <w:rPr>
          <w:rFonts w:hint="default"/>
          <w:color w:val="auto"/>
          <w:sz w:val="28"/>
          <w:szCs w:val="28"/>
          <w:highlight w:val="none"/>
          <w:lang w:val="en-US" w:eastAsia="zh-CN"/>
        </w:rPr>
        <w:t>赣江红谷滩区段堤</w:t>
      </w:r>
      <w:r>
        <w:rPr>
          <w:rFonts w:hint="eastAsia"/>
          <w:color w:val="auto"/>
          <w:sz w:val="28"/>
          <w:szCs w:val="28"/>
          <w:highlight w:val="none"/>
          <w:lang w:val="en-US" w:eastAsia="zh-CN"/>
        </w:rPr>
        <w:t>外</w:t>
      </w:r>
      <w:r>
        <w:rPr>
          <w:rFonts w:hint="default"/>
          <w:color w:val="auto"/>
          <w:sz w:val="28"/>
          <w:szCs w:val="28"/>
          <w:highlight w:val="none"/>
          <w:lang w:val="en-US" w:eastAsia="zh-CN"/>
        </w:rPr>
        <w:t>的水域、沙洲、滩地、行洪区以及堤防</w:t>
      </w:r>
      <w:r>
        <w:rPr>
          <w:rFonts w:hint="eastAsia"/>
          <w:color w:val="auto"/>
          <w:sz w:val="28"/>
          <w:szCs w:val="28"/>
          <w:highlight w:val="none"/>
          <w:lang w:val="en-US" w:eastAsia="zh-CN"/>
        </w:rPr>
        <w:t>、</w:t>
      </w:r>
      <w:r>
        <w:rPr>
          <w:rFonts w:hint="default"/>
          <w:color w:val="auto"/>
          <w:sz w:val="28"/>
          <w:szCs w:val="28"/>
          <w:highlight w:val="none"/>
          <w:lang w:val="en-US" w:eastAsia="zh-CN"/>
        </w:rPr>
        <w:t>护堤地范围内的全部区域</w:t>
      </w:r>
      <w:r>
        <w:rPr>
          <w:rFonts w:hint="eastAsia"/>
          <w:color w:val="auto"/>
          <w:sz w:val="28"/>
          <w:szCs w:val="28"/>
          <w:highlight w:val="none"/>
          <w:lang w:val="en-US" w:eastAsia="zh-CN"/>
        </w:rPr>
        <w:t>，禁养区面积为42.75km</w:t>
      </w:r>
      <w:r>
        <w:rPr>
          <w:rFonts w:hint="eastAsia"/>
          <w:color w:val="auto"/>
          <w:sz w:val="28"/>
          <w:szCs w:val="28"/>
          <w:highlight w:val="none"/>
          <w:vertAlign w:val="superscript"/>
          <w:lang w:val="en-US" w:eastAsia="zh-CN"/>
        </w:rPr>
        <w:t>2</w:t>
      </w:r>
      <w:r>
        <w:rPr>
          <w:rFonts w:hint="eastAsia"/>
          <w:color w:val="auto"/>
          <w:sz w:val="28"/>
          <w:szCs w:val="28"/>
          <w:highlight w:val="none"/>
          <w:lang w:val="en-US" w:eastAsia="zh-CN"/>
        </w:rPr>
        <w:t>。</w:t>
      </w:r>
    </w:p>
    <w:p w14:paraId="28E399DC">
      <w:pPr>
        <w:pStyle w:val="4"/>
        <w:bidi w:val="0"/>
        <w:rPr>
          <w:rFonts w:hint="eastAsia"/>
          <w:color w:val="auto"/>
          <w:highlight w:val="none"/>
          <w:lang w:val="en-US" w:eastAsia="zh-CN"/>
        </w:rPr>
      </w:pPr>
      <w:r>
        <w:rPr>
          <w:rFonts w:hint="eastAsia"/>
          <w:color w:val="auto"/>
          <w:highlight w:val="none"/>
          <w:lang w:val="en-US" w:eastAsia="zh-CN"/>
        </w:rPr>
        <w:t>5.3.2 锦江</w:t>
      </w:r>
    </w:p>
    <w:p w14:paraId="4E6C57A3">
      <w:pPr>
        <w:rPr>
          <w:rFonts w:hint="default"/>
          <w:color w:val="auto"/>
          <w:sz w:val="28"/>
          <w:szCs w:val="28"/>
          <w:highlight w:val="none"/>
          <w:lang w:val="en-US" w:eastAsia="zh-CN"/>
        </w:rPr>
      </w:pPr>
      <w:r>
        <w:rPr>
          <w:rFonts w:hint="default"/>
          <w:color w:val="auto"/>
          <w:sz w:val="28"/>
          <w:szCs w:val="28"/>
          <w:highlight w:val="none"/>
          <w:lang w:val="en-US" w:eastAsia="zh-CN"/>
        </w:rPr>
        <w:t>锦江是赣江左岸一级支流，属于赣江水系。河长307km，流域面积7506km</w:t>
      </w:r>
      <w:r>
        <w:rPr>
          <w:rFonts w:hint="eastAsia"/>
          <w:color w:val="auto"/>
          <w:sz w:val="28"/>
          <w:szCs w:val="28"/>
          <w:highlight w:val="none"/>
          <w:vertAlign w:val="superscript"/>
          <w:lang w:val="en-US" w:eastAsia="zh-CN"/>
        </w:rPr>
        <w:t>2</w:t>
      </w:r>
      <w:r>
        <w:rPr>
          <w:rFonts w:hint="eastAsia"/>
          <w:color w:val="auto"/>
          <w:sz w:val="28"/>
          <w:szCs w:val="28"/>
          <w:highlight w:val="none"/>
          <w:lang w:val="en-US" w:eastAsia="zh-CN"/>
        </w:rPr>
        <w:t>，</w:t>
      </w:r>
      <w:r>
        <w:rPr>
          <w:rFonts w:hint="default"/>
          <w:color w:val="auto"/>
          <w:sz w:val="28"/>
          <w:szCs w:val="28"/>
          <w:highlight w:val="none"/>
          <w:lang w:val="en-US" w:eastAsia="zh-CN"/>
        </w:rPr>
        <w:t>锦江源出宜春地区的慈化山区，流经万载县、上高县、高安市，于红谷滩区厚田镇境内汇入赣江。锦江流域以丘陵地形为主，河道自万载县城以下地势逐渐平坦，河道开阔平缓</w:t>
      </w:r>
      <w:r>
        <w:rPr>
          <w:rFonts w:hint="default"/>
          <w:color w:val="auto"/>
          <w:sz w:val="28"/>
          <w:szCs w:val="28"/>
          <w:highlight w:val="none"/>
          <w:lang w:val="en-US" w:eastAsia="zh-CN"/>
        </w:rPr>
        <w:fldChar w:fldCharType="begin"/>
      </w:r>
      <w:r>
        <w:rPr>
          <w:rFonts w:hint="default"/>
          <w:color w:val="auto"/>
          <w:sz w:val="28"/>
          <w:szCs w:val="28"/>
          <w:highlight w:val="none"/>
          <w:lang w:val="en-US" w:eastAsia="zh-CN"/>
        </w:rPr>
        <w:instrText xml:space="preserve"> HYPERLINK "http://hgt.nc.gov.cn/hgtqrmzf/fdsl/202506/cc0a57f3550a4d7ba1ee125fe00f0882.shtml" \t "https://chat.deepseek.com/a/chat/s/_blank" </w:instrText>
      </w:r>
      <w:r>
        <w:rPr>
          <w:rFonts w:hint="default"/>
          <w:color w:val="auto"/>
          <w:sz w:val="28"/>
          <w:szCs w:val="28"/>
          <w:highlight w:val="none"/>
          <w:lang w:val="en-US" w:eastAsia="zh-CN"/>
        </w:rPr>
        <w:fldChar w:fldCharType="separate"/>
      </w:r>
      <w:r>
        <w:rPr>
          <w:rFonts w:hint="default"/>
          <w:color w:val="auto"/>
          <w:sz w:val="28"/>
          <w:szCs w:val="28"/>
          <w:highlight w:val="none"/>
          <w:lang w:val="en-US" w:eastAsia="zh-CN"/>
        </w:rPr>
        <w:fldChar w:fldCharType="end"/>
      </w:r>
      <w:r>
        <w:rPr>
          <w:rFonts w:hint="eastAsia"/>
          <w:color w:val="auto"/>
          <w:sz w:val="28"/>
          <w:szCs w:val="28"/>
          <w:highlight w:val="none"/>
          <w:lang w:val="en-US" w:eastAsia="zh-CN"/>
        </w:rPr>
        <w:t>，</w:t>
      </w:r>
      <w:r>
        <w:rPr>
          <w:rFonts w:hint="default"/>
          <w:color w:val="auto"/>
          <w:sz w:val="28"/>
          <w:szCs w:val="28"/>
          <w:highlight w:val="none"/>
          <w:lang w:val="en-US" w:eastAsia="zh-CN"/>
        </w:rPr>
        <w:t>红谷滩区境内锦江段流经厚田镇及流湖镇，河道长度约27.9千米，属有堤防河道。</w:t>
      </w:r>
    </w:p>
    <w:p w14:paraId="7A7419E4">
      <w:pPr>
        <w:rPr>
          <w:rFonts w:hint="default"/>
          <w:color w:val="auto"/>
          <w:sz w:val="28"/>
          <w:szCs w:val="28"/>
          <w:highlight w:val="none"/>
          <w:lang w:val="en-US" w:eastAsia="zh-CN"/>
        </w:rPr>
      </w:pPr>
      <w:r>
        <w:rPr>
          <w:rFonts w:hint="eastAsia"/>
          <w:color w:val="auto"/>
          <w:sz w:val="28"/>
          <w:szCs w:val="28"/>
          <w:highlight w:val="none"/>
          <w:lang w:val="en-US" w:eastAsia="zh-CN"/>
        </w:rPr>
        <w:t>锦</w:t>
      </w:r>
      <w:r>
        <w:rPr>
          <w:rFonts w:hint="default"/>
          <w:color w:val="auto"/>
          <w:sz w:val="28"/>
          <w:szCs w:val="28"/>
          <w:highlight w:val="none"/>
          <w:lang w:val="en-US" w:eastAsia="zh-CN"/>
        </w:rPr>
        <w:t>江河道禁养区以堤防临水侧堤顶线为基准，向河道中心线方向延伸至红谷滩区行政边界，划定范围</w:t>
      </w:r>
      <w:r>
        <w:rPr>
          <w:rFonts w:hint="eastAsia"/>
          <w:color w:val="auto"/>
          <w:sz w:val="28"/>
          <w:szCs w:val="28"/>
          <w:highlight w:val="none"/>
          <w:lang w:val="en-US" w:eastAsia="zh-CN"/>
        </w:rPr>
        <w:t>包括锦</w:t>
      </w:r>
      <w:r>
        <w:rPr>
          <w:rFonts w:hint="default"/>
          <w:color w:val="auto"/>
          <w:sz w:val="28"/>
          <w:szCs w:val="28"/>
          <w:highlight w:val="none"/>
          <w:lang w:val="en-US" w:eastAsia="zh-CN"/>
        </w:rPr>
        <w:t>江红谷滩区段堤</w:t>
      </w:r>
      <w:r>
        <w:rPr>
          <w:rFonts w:hint="eastAsia"/>
          <w:color w:val="auto"/>
          <w:sz w:val="28"/>
          <w:szCs w:val="28"/>
          <w:highlight w:val="none"/>
          <w:lang w:val="en-US" w:eastAsia="zh-CN"/>
        </w:rPr>
        <w:t>外</w:t>
      </w:r>
      <w:r>
        <w:rPr>
          <w:rFonts w:hint="default"/>
          <w:color w:val="auto"/>
          <w:sz w:val="28"/>
          <w:szCs w:val="28"/>
          <w:highlight w:val="none"/>
          <w:lang w:val="en-US" w:eastAsia="zh-CN"/>
        </w:rPr>
        <w:t>的水域、沙洲、滩地、行洪区以及堤防</w:t>
      </w:r>
      <w:r>
        <w:rPr>
          <w:rFonts w:hint="eastAsia"/>
          <w:color w:val="auto"/>
          <w:sz w:val="28"/>
          <w:szCs w:val="28"/>
          <w:highlight w:val="none"/>
          <w:lang w:val="en-US" w:eastAsia="zh-CN"/>
        </w:rPr>
        <w:t>、</w:t>
      </w:r>
      <w:r>
        <w:rPr>
          <w:rFonts w:hint="default"/>
          <w:color w:val="auto"/>
          <w:sz w:val="28"/>
          <w:szCs w:val="28"/>
          <w:highlight w:val="none"/>
          <w:lang w:val="en-US" w:eastAsia="zh-CN"/>
        </w:rPr>
        <w:t>护堤地范围内的全部区域</w:t>
      </w:r>
      <w:r>
        <w:rPr>
          <w:rFonts w:hint="eastAsia"/>
          <w:color w:val="auto"/>
          <w:sz w:val="28"/>
          <w:szCs w:val="28"/>
          <w:highlight w:val="none"/>
          <w:lang w:val="en-US" w:eastAsia="zh-CN"/>
        </w:rPr>
        <w:t>，禁养区面积为7.54km</w:t>
      </w:r>
      <w:r>
        <w:rPr>
          <w:rFonts w:hint="eastAsia"/>
          <w:color w:val="auto"/>
          <w:sz w:val="28"/>
          <w:szCs w:val="28"/>
          <w:highlight w:val="none"/>
          <w:vertAlign w:val="superscript"/>
          <w:lang w:val="en-US" w:eastAsia="zh-CN"/>
        </w:rPr>
        <w:t>2</w:t>
      </w:r>
      <w:r>
        <w:rPr>
          <w:rFonts w:hint="eastAsia"/>
          <w:color w:val="auto"/>
          <w:sz w:val="28"/>
          <w:szCs w:val="28"/>
          <w:highlight w:val="none"/>
          <w:lang w:val="en-US" w:eastAsia="zh-CN"/>
        </w:rPr>
        <w:t>。</w:t>
      </w:r>
    </w:p>
    <w:p w14:paraId="44929921">
      <w:pPr>
        <w:pStyle w:val="4"/>
        <w:bidi w:val="0"/>
        <w:rPr>
          <w:rFonts w:hint="eastAsia"/>
          <w:color w:val="auto"/>
          <w:highlight w:val="none"/>
          <w:lang w:val="en-US" w:eastAsia="zh-CN"/>
        </w:rPr>
      </w:pPr>
      <w:r>
        <w:rPr>
          <w:rFonts w:hint="eastAsia"/>
          <w:color w:val="auto"/>
          <w:highlight w:val="none"/>
          <w:lang w:val="en-US" w:eastAsia="zh-CN"/>
        </w:rPr>
        <w:t>5.3.3 禁养区划定结果</w:t>
      </w:r>
    </w:p>
    <w:p w14:paraId="23D6D932">
      <w:pPr>
        <w:ind w:firstLine="560"/>
        <w:rPr>
          <w:rFonts w:hint="eastAsia"/>
          <w:color w:val="auto"/>
          <w:sz w:val="28"/>
          <w:szCs w:val="28"/>
          <w:highlight w:val="none"/>
          <w:lang w:eastAsia="zh-CN"/>
        </w:rPr>
      </w:pPr>
      <w:r>
        <w:rPr>
          <w:rFonts w:hint="eastAsia"/>
          <w:color w:val="auto"/>
          <w:sz w:val="28"/>
          <w:szCs w:val="28"/>
          <w:highlight w:val="none"/>
        </w:rPr>
        <w:t>根据</w:t>
      </w:r>
      <w:r>
        <w:rPr>
          <w:rFonts w:hint="eastAsia"/>
          <w:color w:val="auto"/>
          <w:sz w:val="28"/>
          <w:szCs w:val="28"/>
          <w:highlight w:val="none"/>
          <w:lang w:val="en-US" w:eastAsia="zh-CN"/>
        </w:rPr>
        <w:t>《中华人民共和国河道管理条例》、《中华人民共和国防洪法》等</w:t>
      </w:r>
      <w:r>
        <w:rPr>
          <w:rFonts w:hint="eastAsia"/>
          <w:color w:val="auto"/>
          <w:sz w:val="28"/>
          <w:szCs w:val="28"/>
          <w:highlight w:val="none"/>
        </w:rPr>
        <w:t>文件及相关法律法规要求</w:t>
      </w:r>
      <w:r>
        <w:rPr>
          <w:rFonts w:hint="eastAsia"/>
          <w:color w:val="auto"/>
          <w:sz w:val="28"/>
          <w:szCs w:val="28"/>
          <w:highlight w:val="none"/>
          <w:lang w:eastAsia="zh-CN"/>
        </w:rPr>
        <w:t>。</w:t>
      </w:r>
    </w:p>
    <w:p w14:paraId="4F2C25B5">
      <w:pPr>
        <w:rPr>
          <w:rFonts w:hint="eastAsia"/>
          <w:color w:val="auto"/>
          <w:sz w:val="28"/>
          <w:szCs w:val="28"/>
          <w:highlight w:val="none"/>
          <w:lang w:val="en-US" w:eastAsia="zh-CN"/>
        </w:rPr>
      </w:pPr>
      <w:r>
        <w:rPr>
          <w:rFonts w:hint="eastAsia"/>
          <w:color w:val="auto"/>
          <w:sz w:val="28"/>
          <w:szCs w:val="28"/>
          <w:highlight w:val="none"/>
        </w:rPr>
        <w:t>本次禁养区划定情况如下表</w:t>
      </w:r>
      <w:r>
        <w:rPr>
          <w:rFonts w:hint="eastAsia"/>
          <w:color w:val="auto"/>
          <w:sz w:val="28"/>
          <w:szCs w:val="28"/>
          <w:highlight w:val="none"/>
          <w:lang w:val="en-US" w:eastAsia="zh-CN"/>
        </w:rPr>
        <w:t>，具体边界以矢量图件为准。</w:t>
      </w:r>
    </w:p>
    <w:p w14:paraId="04A00C7B">
      <w:pPr>
        <w:ind w:left="0" w:leftChars="0" w:firstLine="0" w:firstLineChars="0"/>
        <w:jc w:val="center"/>
        <w:rPr>
          <w:b/>
          <w:color w:val="auto"/>
          <w:sz w:val="28"/>
          <w:highlight w:val="none"/>
        </w:rPr>
      </w:pPr>
      <w:r>
        <w:rPr>
          <w:rFonts w:hint="eastAsia"/>
          <w:b/>
          <w:color w:val="auto"/>
          <w:sz w:val="28"/>
          <w:highlight w:val="none"/>
        </w:rPr>
        <w:t>表</w:t>
      </w:r>
      <w:r>
        <w:rPr>
          <w:rFonts w:hint="eastAsia"/>
          <w:b/>
          <w:color w:val="auto"/>
          <w:sz w:val="28"/>
          <w:highlight w:val="none"/>
          <w:lang w:val="en-US" w:eastAsia="zh-CN"/>
        </w:rPr>
        <w:t>5</w:t>
      </w:r>
      <w:r>
        <w:rPr>
          <w:rFonts w:hint="eastAsia"/>
          <w:b/>
          <w:color w:val="auto"/>
          <w:sz w:val="28"/>
          <w:highlight w:val="none"/>
        </w:rPr>
        <w:t>.</w:t>
      </w:r>
      <w:r>
        <w:rPr>
          <w:rFonts w:hint="eastAsia"/>
          <w:b/>
          <w:color w:val="auto"/>
          <w:sz w:val="28"/>
          <w:highlight w:val="none"/>
          <w:lang w:val="en-US" w:eastAsia="zh-CN"/>
        </w:rPr>
        <w:t>3-1</w:t>
      </w:r>
      <w:r>
        <w:rPr>
          <w:rFonts w:hint="eastAsia"/>
          <w:b/>
          <w:color w:val="auto"/>
          <w:sz w:val="28"/>
          <w:highlight w:val="none"/>
        </w:rPr>
        <w:t xml:space="preserve">  </w:t>
      </w:r>
      <w:r>
        <w:rPr>
          <w:rFonts w:hint="eastAsia"/>
          <w:b/>
          <w:color w:val="auto"/>
          <w:sz w:val="28"/>
          <w:highlight w:val="none"/>
          <w:lang w:val="en-US" w:eastAsia="zh-CN"/>
        </w:rPr>
        <w:t>赣江、锦江河道</w:t>
      </w:r>
      <w:r>
        <w:rPr>
          <w:rFonts w:hint="eastAsia"/>
          <w:b/>
          <w:color w:val="auto"/>
          <w:sz w:val="28"/>
          <w:highlight w:val="none"/>
        </w:rPr>
        <w:t>禁养区划定情况一览表</w:t>
      </w:r>
    </w:p>
    <w:tbl>
      <w:tblPr>
        <w:tblStyle w:val="8"/>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98"/>
        <w:gridCol w:w="2014"/>
        <w:gridCol w:w="2885"/>
        <w:gridCol w:w="2585"/>
      </w:tblGrid>
      <w:tr w14:paraId="20F7B2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0" w:type="auto"/>
            <w:vAlign w:val="center"/>
          </w:tcPr>
          <w:p w14:paraId="720048C7">
            <w:pPr>
              <w:spacing w:line="240" w:lineRule="auto"/>
              <w:ind w:firstLine="0" w:firstLineChars="0"/>
              <w:jc w:val="center"/>
              <w:rPr>
                <w:rFonts w:cs="仿宋_GB2312"/>
                <w:b/>
                <w:color w:val="auto"/>
                <w:sz w:val="24"/>
                <w:szCs w:val="24"/>
                <w:highlight w:val="none"/>
              </w:rPr>
            </w:pPr>
            <w:r>
              <w:rPr>
                <w:rFonts w:hint="eastAsia" w:cs="仿宋_GB2312"/>
                <w:b/>
                <w:color w:val="auto"/>
                <w:sz w:val="24"/>
                <w:szCs w:val="24"/>
                <w:highlight w:val="none"/>
              </w:rPr>
              <w:t>序号</w:t>
            </w:r>
          </w:p>
        </w:tc>
        <w:tc>
          <w:tcPr>
            <w:tcW w:w="2014" w:type="dxa"/>
            <w:vAlign w:val="center"/>
          </w:tcPr>
          <w:p w14:paraId="46198D7B">
            <w:pPr>
              <w:spacing w:line="240" w:lineRule="auto"/>
              <w:ind w:firstLine="0" w:firstLineChars="0"/>
              <w:jc w:val="center"/>
              <w:rPr>
                <w:rFonts w:cs="仿宋_GB2312"/>
                <w:b/>
                <w:color w:val="auto"/>
                <w:sz w:val="24"/>
                <w:szCs w:val="24"/>
                <w:highlight w:val="none"/>
              </w:rPr>
            </w:pPr>
            <w:r>
              <w:rPr>
                <w:rFonts w:hint="eastAsia" w:cs="仿宋_GB2312"/>
                <w:b/>
                <w:color w:val="auto"/>
                <w:sz w:val="24"/>
                <w:szCs w:val="24"/>
                <w:highlight w:val="none"/>
              </w:rPr>
              <w:t>名称</w:t>
            </w:r>
          </w:p>
        </w:tc>
        <w:tc>
          <w:tcPr>
            <w:tcW w:w="2885" w:type="dxa"/>
            <w:tcBorders>
              <w:bottom w:val="single" w:color="auto" w:sz="12" w:space="0"/>
            </w:tcBorders>
            <w:vAlign w:val="center"/>
          </w:tcPr>
          <w:p w14:paraId="18EDFAD9">
            <w:pPr>
              <w:spacing w:line="240" w:lineRule="auto"/>
              <w:ind w:firstLine="0" w:firstLineChars="0"/>
              <w:jc w:val="center"/>
              <w:rPr>
                <w:rFonts w:cs="仿宋_GB2312"/>
                <w:b/>
                <w:color w:val="auto"/>
                <w:sz w:val="24"/>
                <w:szCs w:val="24"/>
                <w:highlight w:val="none"/>
              </w:rPr>
            </w:pPr>
            <w:r>
              <w:rPr>
                <w:rFonts w:hint="eastAsia" w:cs="仿宋_GB2312"/>
                <w:b/>
                <w:color w:val="auto"/>
                <w:sz w:val="24"/>
                <w:szCs w:val="24"/>
                <w:highlight w:val="none"/>
              </w:rPr>
              <w:t>禁养区范围</w:t>
            </w:r>
          </w:p>
        </w:tc>
        <w:tc>
          <w:tcPr>
            <w:tcW w:w="2585" w:type="dxa"/>
            <w:vAlign w:val="center"/>
          </w:tcPr>
          <w:p w14:paraId="252AC9F7">
            <w:pPr>
              <w:spacing w:line="240" w:lineRule="auto"/>
              <w:ind w:firstLine="0" w:firstLineChars="0"/>
              <w:jc w:val="center"/>
              <w:rPr>
                <w:rFonts w:cs="仿宋_GB2312"/>
                <w:b/>
                <w:color w:val="auto"/>
                <w:sz w:val="24"/>
                <w:szCs w:val="24"/>
                <w:highlight w:val="none"/>
              </w:rPr>
            </w:pPr>
            <w:r>
              <w:rPr>
                <w:rFonts w:hint="eastAsia" w:cs="仿宋_GB2312"/>
                <w:b/>
                <w:color w:val="auto"/>
                <w:sz w:val="24"/>
                <w:szCs w:val="24"/>
                <w:highlight w:val="none"/>
              </w:rPr>
              <w:t>依据</w:t>
            </w:r>
          </w:p>
        </w:tc>
      </w:tr>
      <w:tr w14:paraId="77BB61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0" w:type="auto"/>
            <w:tcBorders>
              <w:top w:val="single" w:color="auto" w:sz="12" w:space="0"/>
              <w:bottom w:val="single" w:color="auto" w:sz="4" w:space="0"/>
            </w:tcBorders>
            <w:vAlign w:val="center"/>
          </w:tcPr>
          <w:p w14:paraId="774548B1">
            <w:pPr>
              <w:spacing w:line="240" w:lineRule="auto"/>
              <w:ind w:firstLine="0" w:firstLineChars="0"/>
              <w:jc w:val="center"/>
              <w:rPr>
                <w:rFonts w:cs="仿宋_GB2312"/>
                <w:color w:val="auto"/>
                <w:sz w:val="24"/>
                <w:szCs w:val="24"/>
                <w:highlight w:val="none"/>
              </w:rPr>
            </w:pPr>
            <w:r>
              <w:rPr>
                <w:rFonts w:hint="eastAsia" w:cs="仿宋_GB2312"/>
                <w:color w:val="auto"/>
                <w:sz w:val="24"/>
                <w:szCs w:val="24"/>
                <w:highlight w:val="none"/>
              </w:rPr>
              <w:t>1</w:t>
            </w:r>
          </w:p>
        </w:tc>
        <w:tc>
          <w:tcPr>
            <w:tcW w:w="2014" w:type="dxa"/>
            <w:tcBorders>
              <w:top w:val="single" w:color="auto" w:sz="12" w:space="0"/>
              <w:bottom w:val="single" w:color="auto" w:sz="4" w:space="0"/>
            </w:tcBorders>
            <w:vAlign w:val="center"/>
          </w:tcPr>
          <w:p w14:paraId="640A37C9">
            <w:pPr>
              <w:spacing w:line="240" w:lineRule="auto"/>
              <w:ind w:firstLine="0" w:firstLineChars="0"/>
              <w:jc w:val="center"/>
              <w:rPr>
                <w:rFonts w:hint="eastAsia" w:cs="仿宋_GB2312"/>
                <w:b w:val="0"/>
                <w:bCs/>
                <w:color w:val="auto"/>
                <w:sz w:val="24"/>
                <w:szCs w:val="24"/>
                <w:highlight w:val="none"/>
                <w:lang w:val="en-US" w:eastAsia="zh-CN"/>
              </w:rPr>
            </w:pPr>
            <w:r>
              <w:rPr>
                <w:rFonts w:hint="eastAsia" w:cs="仿宋_GB2312"/>
                <w:b w:val="0"/>
                <w:bCs/>
                <w:color w:val="auto"/>
                <w:sz w:val="24"/>
                <w:szCs w:val="24"/>
                <w:highlight w:val="none"/>
                <w:lang w:val="en-US" w:eastAsia="zh-CN"/>
              </w:rPr>
              <w:t>红谷滩区段</w:t>
            </w:r>
          </w:p>
          <w:p w14:paraId="4EEACDD0">
            <w:pPr>
              <w:spacing w:line="240" w:lineRule="auto"/>
              <w:ind w:firstLine="0" w:firstLineChars="0"/>
              <w:jc w:val="center"/>
              <w:rPr>
                <w:rFonts w:hint="default" w:eastAsia="仿宋_GB2312" w:cs="仿宋_GB2312"/>
                <w:b w:val="0"/>
                <w:bCs/>
                <w:color w:val="auto"/>
                <w:sz w:val="24"/>
                <w:szCs w:val="24"/>
                <w:highlight w:val="none"/>
                <w:lang w:val="en-US" w:eastAsia="zh-CN"/>
              </w:rPr>
            </w:pPr>
            <w:r>
              <w:rPr>
                <w:rFonts w:hint="eastAsia" w:cs="仿宋_GB2312"/>
                <w:b w:val="0"/>
                <w:bCs/>
                <w:color w:val="auto"/>
                <w:sz w:val="24"/>
                <w:szCs w:val="24"/>
                <w:highlight w:val="none"/>
                <w:lang w:val="en-US" w:eastAsia="zh-CN"/>
              </w:rPr>
              <w:t>赣江河道</w:t>
            </w:r>
          </w:p>
        </w:tc>
        <w:tc>
          <w:tcPr>
            <w:tcW w:w="2885" w:type="dxa"/>
            <w:tcBorders>
              <w:top w:val="single" w:color="auto" w:sz="12" w:space="0"/>
            </w:tcBorders>
            <w:vAlign w:val="center"/>
          </w:tcPr>
          <w:p w14:paraId="175C3220">
            <w:pPr>
              <w:spacing w:line="240" w:lineRule="auto"/>
              <w:ind w:firstLine="0" w:firstLineChars="0"/>
              <w:rPr>
                <w:rFonts w:cs="仿宋_GB2312"/>
                <w:color w:val="auto"/>
                <w:sz w:val="24"/>
                <w:szCs w:val="24"/>
                <w:highlight w:val="none"/>
              </w:rPr>
            </w:pPr>
            <w:r>
              <w:rPr>
                <w:rFonts w:hint="eastAsia" w:cs="仿宋_GB2312"/>
                <w:color w:val="auto"/>
                <w:sz w:val="24"/>
                <w:szCs w:val="24"/>
                <w:highlight w:val="none"/>
                <w:lang w:val="en-US" w:eastAsia="zh-CN"/>
              </w:rPr>
              <w:t>红谷滩区段赣江河道管理范围</w:t>
            </w:r>
            <w:r>
              <w:rPr>
                <w:rFonts w:hint="eastAsia" w:cs="仿宋_GB2312"/>
                <w:color w:val="auto"/>
                <w:sz w:val="24"/>
                <w:szCs w:val="24"/>
                <w:highlight w:val="none"/>
              </w:rPr>
              <w:t>：</w:t>
            </w:r>
          </w:p>
          <w:p w14:paraId="066B9B06">
            <w:pPr>
              <w:spacing w:line="240" w:lineRule="auto"/>
              <w:ind w:firstLine="0" w:firstLineChars="0"/>
              <w:rPr>
                <w:rFonts w:cs="仿宋_GB2312"/>
                <w:color w:val="auto"/>
                <w:sz w:val="24"/>
                <w:szCs w:val="24"/>
                <w:highlight w:val="none"/>
              </w:rPr>
            </w:pPr>
            <w:r>
              <w:rPr>
                <w:rFonts w:hint="eastAsia" w:cs="仿宋_GB2312"/>
                <w:color w:val="auto"/>
                <w:sz w:val="24"/>
                <w:szCs w:val="24"/>
                <w:highlight w:val="none"/>
              </w:rPr>
              <w:t>总面积为：</w:t>
            </w:r>
            <w:r>
              <w:rPr>
                <w:rFonts w:hint="eastAsia" w:cs="仿宋_GB2312"/>
                <w:color w:val="auto"/>
                <w:sz w:val="24"/>
                <w:szCs w:val="24"/>
                <w:highlight w:val="none"/>
                <w:lang w:val="en-US" w:eastAsia="zh-CN"/>
              </w:rPr>
              <w:t>42.75</w:t>
            </w:r>
            <w:r>
              <w:rPr>
                <w:rFonts w:hint="eastAsia" w:cs="仿宋_GB2312"/>
                <w:color w:val="auto"/>
                <w:sz w:val="24"/>
                <w:szCs w:val="24"/>
                <w:highlight w:val="none"/>
              </w:rPr>
              <w:t>km</w:t>
            </w:r>
            <w:r>
              <w:rPr>
                <w:rFonts w:hint="eastAsia" w:cs="仿宋_GB2312"/>
                <w:color w:val="auto"/>
                <w:sz w:val="24"/>
                <w:szCs w:val="24"/>
                <w:highlight w:val="none"/>
                <w:vertAlign w:val="superscript"/>
              </w:rPr>
              <w:t>2</w:t>
            </w:r>
            <w:r>
              <w:rPr>
                <w:rFonts w:hint="eastAsia" w:cs="仿宋_GB2312"/>
                <w:color w:val="auto"/>
                <w:sz w:val="24"/>
                <w:szCs w:val="24"/>
                <w:highlight w:val="none"/>
              </w:rPr>
              <w:t>。</w:t>
            </w:r>
          </w:p>
        </w:tc>
        <w:tc>
          <w:tcPr>
            <w:tcW w:w="2585" w:type="dxa"/>
            <w:vMerge w:val="restart"/>
            <w:tcBorders>
              <w:top w:val="single" w:color="auto" w:sz="12" w:space="0"/>
            </w:tcBorders>
            <w:vAlign w:val="center"/>
          </w:tcPr>
          <w:p w14:paraId="7608A2C4">
            <w:pPr>
              <w:spacing w:line="240" w:lineRule="auto"/>
              <w:ind w:firstLine="0" w:firstLineChars="0"/>
              <w:rPr>
                <w:rFonts w:cs="仿宋_GB2312"/>
                <w:color w:val="auto"/>
                <w:sz w:val="24"/>
                <w:szCs w:val="24"/>
                <w:highlight w:val="none"/>
              </w:rPr>
            </w:pPr>
            <w:r>
              <w:rPr>
                <w:rFonts w:hint="eastAsia" w:cs="仿宋_GB2312"/>
                <w:color w:val="auto"/>
                <w:sz w:val="24"/>
                <w:szCs w:val="24"/>
                <w:highlight w:val="none"/>
              </w:rPr>
              <w:t>《畜禽养殖禁养区划定技术指南》、</w:t>
            </w:r>
            <w:r>
              <w:rPr>
                <w:rFonts w:hint="eastAsia" w:cs="仿宋_GB2312"/>
                <w:color w:val="auto"/>
                <w:sz w:val="24"/>
                <w:szCs w:val="24"/>
                <w:highlight w:val="none"/>
                <w:lang w:val="en-US" w:eastAsia="zh-CN"/>
              </w:rPr>
              <w:t>中华人民共和国河道管理条例》、《中华人民共和国防洪法》</w:t>
            </w:r>
          </w:p>
        </w:tc>
      </w:tr>
      <w:tr w14:paraId="79FEE1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0" w:type="auto"/>
            <w:tcBorders>
              <w:top w:val="single" w:color="auto" w:sz="4" w:space="0"/>
              <w:bottom w:val="single" w:color="auto" w:sz="4" w:space="0"/>
            </w:tcBorders>
            <w:vAlign w:val="center"/>
          </w:tcPr>
          <w:p w14:paraId="3F8985C0">
            <w:pPr>
              <w:spacing w:line="240" w:lineRule="auto"/>
              <w:ind w:firstLine="0" w:firstLineChars="0"/>
              <w:jc w:val="center"/>
              <w:rPr>
                <w:rFonts w:cs="仿宋_GB2312"/>
                <w:color w:val="auto"/>
                <w:sz w:val="24"/>
                <w:szCs w:val="24"/>
                <w:highlight w:val="none"/>
              </w:rPr>
            </w:pPr>
            <w:r>
              <w:rPr>
                <w:rFonts w:hint="eastAsia" w:cs="仿宋_GB2312"/>
                <w:color w:val="auto"/>
                <w:sz w:val="24"/>
                <w:szCs w:val="24"/>
                <w:highlight w:val="none"/>
              </w:rPr>
              <w:t>3</w:t>
            </w:r>
          </w:p>
        </w:tc>
        <w:tc>
          <w:tcPr>
            <w:tcW w:w="2014" w:type="dxa"/>
            <w:tcBorders>
              <w:top w:val="single" w:color="auto" w:sz="4" w:space="0"/>
              <w:bottom w:val="single" w:color="auto" w:sz="4" w:space="0"/>
            </w:tcBorders>
            <w:vAlign w:val="center"/>
          </w:tcPr>
          <w:p w14:paraId="688F2943">
            <w:pPr>
              <w:spacing w:line="240" w:lineRule="auto"/>
              <w:ind w:firstLine="0" w:firstLineChars="0"/>
              <w:jc w:val="center"/>
              <w:rPr>
                <w:rFonts w:hint="eastAsia" w:cs="仿宋_GB2312"/>
                <w:b w:val="0"/>
                <w:bCs/>
                <w:color w:val="auto"/>
                <w:sz w:val="24"/>
                <w:szCs w:val="24"/>
                <w:highlight w:val="none"/>
                <w:lang w:val="en-US" w:eastAsia="zh-CN"/>
              </w:rPr>
            </w:pPr>
            <w:r>
              <w:rPr>
                <w:rFonts w:hint="eastAsia" w:cs="仿宋_GB2312"/>
                <w:b w:val="0"/>
                <w:bCs/>
                <w:color w:val="auto"/>
                <w:sz w:val="24"/>
                <w:szCs w:val="24"/>
                <w:highlight w:val="none"/>
                <w:lang w:val="en-US" w:eastAsia="zh-CN"/>
              </w:rPr>
              <w:t>红谷滩区段</w:t>
            </w:r>
          </w:p>
          <w:p w14:paraId="473D503C">
            <w:pPr>
              <w:spacing w:line="240" w:lineRule="auto"/>
              <w:ind w:firstLine="0" w:firstLineChars="0"/>
              <w:jc w:val="center"/>
              <w:rPr>
                <w:rFonts w:cs="仿宋_GB2312"/>
                <w:b w:val="0"/>
                <w:bCs/>
                <w:color w:val="auto"/>
                <w:sz w:val="24"/>
                <w:szCs w:val="24"/>
                <w:highlight w:val="none"/>
              </w:rPr>
            </w:pPr>
            <w:r>
              <w:rPr>
                <w:rFonts w:hint="eastAsia" w:cs="仿宋_GB2312"/>
                <w:b w:val="0"/>
                <w:bCs/>
                <w:color w:val="auto"/>
                <w:sz w:val="24"/>
                <w:szCs w:val="24"/>
                <w:highlight w:val="none"/>
                <w:lang w:val="en-US" w:eastAsia="zh-CN"/>
              </w:rPr>
              <w:t>锦江河道</w:t>
            </w:r>
          </w:p>
        </w:tc>
        <w:tc>
          <w:tcPr>
            <w:tcW w:w="2885" w:type="dxa"/>
            <w:tcBorders>
              <w:top w:val="single" w:color="auto" w:sz="4" w:space="0"/>
            </w:tcBorders>
            <w:vAlign w:val="center"/>
          </w:tcPr>
          <w:p w14:paraId="0FF4D6E3">
            <w:pPr>
              <w:spacing w:line="240" w:lineRule="auto"/>
              <w:ind w:firstLine="0" w:firstLineChars="0"/>
              <w:rPr>
                <w:rFonts w:cs="仿宋_GB2312"/>
                <w:color w:val="auto"/>
                <w:sz w:val="24"/>
                <w:szCs w:val="24"/>
                <w:highlight w:val="none"/>
              </w:rPr>
            </w:pPr>
            <w:r>
              <w:rPr>
                <w:rFonts w:hint="eastAsia" w:cs="仿宋_GB2312"/>
                <w:color w:val="auto"/>
                <w:sz w:val="24"/>
                <w:szCs w:val="24"/>
                <w:highlight w:val="none"/>
                <w:lang w:val="en-US" w:eastAsia="zh-CN"/>
              </w:rPr>
              <w:t>红谷滩区段锦江河道管理范围</w:t>
            </w:r>
            <w:r>
              <w:rPr>
                <w:rFonts w:hint="eastAsia" w:cs="仿宋_GB2312"/>
                <w:color w:val="auto"/>
                <w:sz w:val="24"/>
                <w:szCs w:val="24"/>
                <w:highlight w:val="none"/>
              </w:rPr>
              <w:t>：</w:t>
            </w:r>
          </w:p>
          <w:p w14:paraId="474E83C5">
            <w:pPr>
              <w:spacing w:line="240" w:lineRule="auto"/>
              <w:ind w:firstLine="0" w:firstLineChars="0"/>
              <w:rPr>
                <w:rFonts w:cs="仿宋_GB2312"/>
                <w:color w:val="auto"/>
                <w:sz w:val="24"/>
                <w:szCs w:val="24"/>
                <w:highlight w:val="none"/>
              </w:rPr>
            </w:pPr>
            <w:r>
              <w:rPr>
                <w:rFonts w:hint="eastAsia" w:cs="仿宋_GB2312"/>
                <w:color w:val="auto"/>
                <w:sz w:val="24"/>
                <w:szCs w:val="24"/>
                <w:highlight w:val="none"/>
              </w:rPr>
              <w:t>总面积为：</w:t>
            </w:r>
            <w:r>
              <w:rPr>
                <w:rFonts w:hint="eastAsia" w:cs="仿宋_GB2312"/>
                <w:color w:val="auto"/>
                <w:sz w:val="24"/>
                <w:szCs w:val="24"/>
                <w:highlight w:val="none"/>
                <w:lang w:val="en-US" w:eastAsia="zh-CN"/>
              </w:rPr>
              <w:t>7.54</w:t>
            </w:r>
            <w:r>
              <w:rPr>
                <w:rFonts w:hint="eastAsia" w:cs="仿宋_GB2312"/>
                <w:color w:val="auto"/>
                <w:sz w:val="24"/>
                <w:szCs w:val="24"/>
                <w:highlight w:val="none"/>
              </w:rPr>
              <w:t>km</w:t>
            </w:r>
            <w:r>
              <w:rPr>
                <w:rFonts w:hint="eastAsia" w:cs="仿宋_GB2312"/>
                <w:color w:val="auto"/>
                <w:sz w:val="24"/>
                <w:szCs w:val="24"/>
                <w:highlight w:val="none"/>
                <w:vertAlign w:val="superscript"/>
              </w:rPr>
              <w:t>2</w:t>
            </w:r>
            <w:r>
              <w:rPr>
                <w:rFonts w:hint="eastAsia" w:cs="仿宋_GB2312"/>
                <w:color w:val="auto"/>
                <w:sz w:val="24"/>
                <w:szCs w:val="24"/>
                <w:highlight w:val="none"/>
              </w:rPr>
              <w:t>。</w:t>
            </w:r>
          </w:p>
        </w:tc>
        <w:tc>
          <w:tcPr>
            <w:tcW w:w="2585" w:type="dxa"/>
            <w:vMerge w:val="continue"/>
            <w:vAlign w:val="center"/>
          </w:tcPr>
          <w:p w14:paraId="622B71D5">
            <w:pPr>
              <w:spacing w:line="240" w:lineRule="auto"/>
              <w:ind w:firstLine="0" w:firstLineChars="0"/>
              <w:rPr>
                <w:rFonts w:cs="仿宋_GB2312"/>
                <w:color w:val="auto"/>
                <w:sz w:val="24"/>
                <w:szCs w:val="24"/>
                <w:highlight w:val="none"/>
              </w:rPr>
            </w:pPr>
          </w:p>
        </w:tc>
      </w:tr>
      <w:tr w14:paraId="7CD83A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2" w:type="dxa"/>
            <w:gridSpan w:val="4"/>
            <w:tcBorders>
              <w:top w:val="single" w:color="auto" w:sz="4" w:space="0"/>
            </w:tcBorders>
            <w:vAlign w:val="center"/>
          </w:tcPr>
          <w:p w14:paraId="3A23B52A">
            <w:pPr>
              <w:spacing w:line="240" w:lineRule="auto"/>
              <w:ind w:firstLine="0" w:firstLineChars="0"/>
              <w:rPr>
                <w:rFonts w:hint="eastAsia" w:cs="仿宋_GB2312"/>
                <w:color w:val="auto"/>
                <w:sz w:val="21"/>
                <w:szCs w:val="21"/>
                <w:highlight w:val="none"/>
              </w:rPr>
            </w:pPr>
            <w:r>
              <w:rPr>
                <w:rFonts w:hint="eastAsia" w:cs="仿宋_GB2312"/>
                <w:color w:val="auto"/>
                <w:sz w:val="21"/>
                <w:szCs w:val="21"/>
                <w:highlight w:val="none"/>
              </w:rPr>
              <w:t>备注：</w:t>
            </w:r>
            <w:r>
              <w:rPr>
                <w:rFonts w:hint="eastAsia" w:cs="仿宋_GB2312"/>
                <w:color w:val="auto"/>
                <w:sz w:val="21"/>
                <w:szCs w:val="21"/>
                <w:highlight w:val="none"/>
                <w:lang w:val="en-US" w:eastAsia="zh-CN"/>
              </w:rPr>
              <w:t>具体禁养区范围以附图及矢量文件为准。</w:t>
            </w:r>
          </w:p>
        </w:tc>
      </w:tr>
    </w:tbl>
    <w:p w14:paraId="0B45A702">
      <w:pPr>
        <w:pStyle w:val="3"/>
        <w:bidi w:val="0"/>
        <w:rPr>
          <w:rFonts w:hint="eastAsia" w:ascii="仿宋_GB2312" w:hAnsi="仿宋_GB2312" w:eastAsia="仿宋_GB2312" w:cs="仿宋_GB2312"/>
          <w:color w:val="auto"/>
          <w:highlight w:val="none"/>
        </w:rPr>
      </w:pPr>
      <w:bookmarkStart w:id="3" w:name="_Toc8574"/>
      <w:r>
        <w:rPr>
          <w:rFonts w:hint="eastAsia" w:cs="仿宋_GB2312"/>
          <w:color w:val="auto"/>
          <w:highlight w:val="none"/>
          <w:lang w:val="en-US" w:eastAsia="zh-CN"/>
        </w:rPr>
        <w:t>5.4</w:t>
      </w:r>
      <w:r>
        <w:rPr>
          <w:rFonts w:hint="eastAsia" w:ascii="仿宋_GB2312" w:hAnsi="仿宋_GB2312" w:eastAsia="仿宋_GB2312" w:cs="仿宋_GB2312"/>
          <w:color w:val="auto"/>
          <w:highlight w:val="none"/>
        </w:rPr>
        <w:t>畜禽养殖禁养区划定结果</w:t>
      </w:r>
      <w:bookmarkEnd w:id="3"/>
    </w:p>
    <w:p w14:paraId="263582E4">
      <w:pPr>
        <w:ind w:firstLine="600"/>
        <w:rPr>
          <w:rFonts w:hint="eastAsia" w:ascii="仿宋_GB2312" w:hAnsi="仿宋_GB2312" w:eastAsia="仿宋_GB2312" w:cs="仿宋_GB2312"/>
          <w:color w:val="auto"/>
          <w:sz w:val="28"/>
          <w:szCs w:val="21"/>
          <w:highlight w:val="none"/>
        </w:rPr>
      </w:pPr>
      <w:r>
        <w:rPr>
          <w:rFonts w:hint="eastAsia" w:ascii="仿宋_GB2312" w:hAnsi="仿宋_GB2312" w:eastAsia="仿宋_GB2312" w:cs="仿宋_GB2312"/>
          <w:color w:val="auto"/>
          <w:sz w:val="28"/>
          <w:szCs w:val="21"/>
          <w:highlight w:val="none"/>
        </w:rPr>
        <w:t>红谷滩区畜禽养殖禁养区划定结果见下表：</w:t>
      </w:r>
    </w:p>
    <w:p w14:paraId="161D2A78">
      <w:pPr>
        <w:ind w:firstLine="562"/>
        <w:jc w:val="center"/>
        <w:rPr>
          <w:rFonts w:hint="eastAsia" w:ascii="仿宋_GB2312" w:hAnsi="仿宋_GB2312" w:eastAsia="仿宋_GB2312" w:cs="仿宋_GB2312"/>
          <w:b/>
          <w:bCs w:val="0"/>
          <w:color w:val="auto"/>
          <w:sz w:val="28"/>
          <w:szCs w:val="28"/>
          <w:highlight w:val="none"/>
        </w:rPr>
      </w:pPr>
      <w:r>
        <w:rPr>
          <w:rFonts w:hint="eastAsia" w:ascii="仿宋_GB2312" w:hAnsi="仿宋_GB2312" w:eastAsia="仿宋_GB2312" w:cs="仿宋_GB2312"/>
          <w:b/>
          <w:bCs w:val="0"/>
          <w:color w:val="auto"/>
          <w:sz w:val="28"/>
          <w:szCs w:val="28"/>
          <w:highlight w:val="none"/>
        </w:rPr>
        <w:t>表</w:t>
      </w:r>
      <w:r>
        <w:rPr>
          <w:rFonts w:hint="eastAsia" w:ascii="仿宋_GB2312" w:hAnsi="仿宋_GB2312" w:eastAsia="仿宋_GB2312" w:cs="仿宋_GB2312"/>
          <w:b/>
          <w:bCs w:val="0"/>
          <w:color w:val="auto"/>
          <w:sz w:val="28"/>
          <w:szCs w:val="28"/>
          <w:highlight w:val="none"/>
          <w:lang w:val="en-US" w:eastAsia="zh-CN"/>
        </w:rPr>
        <w:t>5.</w:t>
      </w:r>
      <w:r>
        <w:rPr>
          <w:rFonts w:hint="eastAsia" w:cs="仿宋_GB2312"/>
          <w:b/>
          <w:bCs w:val="0"/>
          <w:color w:val="auto"/>
          <w:sz w:val="28"/>
          <w:szCs w:val="28"/>
          <w:highlight w:val="none"/>
          <w:lang w:val="en-US" w:eastAsia="zh-CN"/>
        </w:rPr>
        <w:t>4</w:t>
      </w:r>
      <w:r>
        <w:rPr>
          <w:rFonts w:hint="eastAsia" w:ascii="仿宋_GB2312" w:hAnsi="仿宋_GB2312" w:eastAsia="仿宋_GB2312" w:cs="仿宋_GB2312"/>
          <w:b/>
          <w:bCs w:val="0"/>
          <w:color w:val="auto"/>
          <w:sz w:val="28"/>
          <w:szCs w:val="28"/>
          <w:highlight w:val="none"/>
          <w:lang w:val="en-US" w:eastAsia="zh-CN"/>
        </w:rPr>
        <w:t>-1</w:t>
      </w:r>
      <w:r>
        <w:rPr>
          <w:rFonts w:hint="eastAsia" w:ascii="仿宋_GB2312" w:hAnsi="仿宋_GB2312" w:eastAsia="仿宋_GB2312" w:cs="仿宋_GB2312"/>
          <w:b/>
          <w:bCs w:val="0"/>
          <w:color w:val="auto"/>
          <w:sz w:val="28"/>
          <w:szCs w:val="28"/>
          <w:highlight w:val="none"/>
        </w:rPr>
        <w:t xml:space="preserve">  </w:t>
      </w:r>
      <w:r>
        <w:rPr>
          <w:rFonts w:hint="eastAsia" w:ascii="仿宋_GB2312" w:hAnsi="仿宋_GB2312" w:eastAsia="仿宋_GB2312" w:cs="仿宋_GB2312"/>
          <w:b/>
          <w:bCs w:val="0"/>
          <w:color w:val="auto"/>
          <w:highlight w:val="none"/>
        </w:rPr>
        <w:t>红谷滩区畜禽养殖禁养区划定结果一览表</w:t>
      </w:r>
    </w:p>
    <w:tbl>
      <w:tblPr>
        <w:tblStyle w:val="8"/>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83"/>
        <w:gridCol w:w="1383"/>
        <w:gridCol w:w="2378"/>
        <w:gridCol w:w="2454"/>
        <w:gridCol w:w="1623"/>
      </w:tblGrid>
      <w:tr w14:paraId="46005B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83" w:type="dxa"/>
            <w:tcBorders>
              <w:bottom w:val="single" w:color="auto" w:sz="12" w:space="0"/>
            </w:tcBorders>
            <w:vAlign w:val="center"/>
          </w:tcPr>
          <w:p w14:paraId="1BE8741E">
            <w:pPr>
              <w:spacing w:line="240" w:lineRule="auto"/>
              <w:ind w:firstLine="0" w:firstLineChars="0"/>
              <w:jc w:val="center"/>
              <w:rPr>
                <w:rFonts w:hint="eastAsia" w:ascii="仿宋_GB2312" w:hAnsi="仿宋_GB2312" w:eastAsia="仿宋_GB2312" w:cs="仿宋_GB2312"/>
                <w:b/>
                <w:color w:val="auto"/>
                <w:sz w:val="21"/>
                <w:szCs w:val="21"/>
                <w:highlight w:val="none"/>
              </w:rPr>
            </w:pPr>
            <w:r>
              <w:rPr>
                <w:rFonts w:hint="eastAsia" w:ascii="仿宋_GB2312" w:hAnsi="仿宋_GB2312" w:eastAsia="仿宋_GB2312" w:cs="仿宋_GB2312"/>
                <w:b/>
                <w:color w:val="auto"/>
                <w:sz w:val="21"/>
                <w:szCs w:val="21"/>
                <w:highlight w:val="none"/>
              </w:rPr>
              <w:t>序号</w:t>
            </w:r>
          </w:p>
        </w:tc>
        <w:tc>
          <w:tcPr>
            <w:tcW w:w="3761" w:type="dxa"/>
            <w:gridSpan w:val="2"/>
            <w:tcBorders>
              <w:bottom w:val="single" w:color="auto" w:sz="12" w:space="0"/>
            </w:tcBorders>
            <w:vAlign w:val="center"/>
          </w:tcPr>
          <w:p w14:paraId="48B5C20A">
            <w:pPr>
              <w:spacing w:line="240" w:lineRule="auto"/>
              <w:ind w:firstLine="0" w:firstLineChars="0"/>
              <w:jc w:val="center"/>
              <w:rPr>
                <w:rFonts w:hint="eastAsia" w:ascii="仿宋_GB2312" w:hAnsi="仿宋_GB2312" w:eastAsia="仿宋_GB2312" w:cs="仿宋_GB2312"/>
                <w:b/>
                <w:color w:val="auto"/>
                <w:sz w:val="21"/>
                <w:szCs w:val="21"/>
                <w:highlight w:val="none"/>
              </w:rPr>
            </w:pPr>
            <w:r>
              <w:rPr>
                <w:rFonts w:hint="eastAsia" w:ascii="仿宋_GB2312" w:hAnsi="仿宋_GB2312" w:eastAsia="仿宋_GB2312" w:cs="仿宋_GB2312"/>
                <w:b/>
                <w:color w:val="auto"/>
                <w:sz w:val="21"/>
                <w:szCs w:val="21"/>
                <w:highlight w:val="none"/>
              </w:rPr>
              <w:t>类型</w:t>
            </w:r>
          </w:p>
        </w:tc>
        <w:tc>
          <w:tcPr>
            <w:tcW w:w="2454" w:type="dxa"/>
            <w:tcBorders>
              <w:bottom w:val="single" w:color="auto" w:sz="12" w:space="0"/>
            </w:tcBorders>
            <w:vAlign w:val="center"/>
          </w:tcPr>
          <w:p w14:paraId="097FD6C9">
            <w:pPr>
              <w:spacing w:line="240" w:lineRule="auto"/>
              <w:ind w:firstLine="0" w:firstLineChars="0"/>
              <w:jc w:val="center"/>
              <w:rPr>
                <w:rFonts w:hint="eastAsia" w:ascii="仿宋_GB2312" w:hAnsi="仿宋_GB2312" w:eastAsia="仿宋_GB2312" w:cs="仿宋_GB2312"/>
                <w:b/>
                <w:color w:val="auto"/>
                <w:sz w:val="21"/>
                <w:szCs w:val="21"/>
                <w:highlight w:val="none"/>
              </w:rPr>
            </w:pPr>
            <w:r>
              <w:rPr>
                <w:rFonts w:hint="eastAsia" w:ascii="仿宋_GB2312" w:hAnsi="仿宋_GB2312" w:eastAsia="仿宋_GB2312" w:cs="仿宋_GB2312"/>
                <w:b/>
                <w:color w:val="auto"/>
                <w:sz w:val="21"/>
                <w:szCs w:val="21"/>
                <w:highlight w:val="none"/>
              </w:rPr>
              <w:t>范围</w:t>
            </w:r>
          </w:p>
        </w:tc>
        <w:tc>
          <w:tcPr>
            <w:tcW w:w="1623" w:type="dxa"/>
            <w:tcBorders>
              <w:bottom w:val="single" w:color="auto" w:sz="12" w:space="0"/>
            </w:tcBorders>
            <w:vAlign w:val="center"/>
          </w:tcPr>
          <w:p w14:paraId="40AC70DD">
            <w:pPr>
              <w:spacing w:line="240" w:lineRule="auto"/>
              <w:ind w:firstLine="0" w:firstLineChars="0"/>
              <w:jc w:val="center"/>
              <w:rPr>
                <w:rFonts w:hint="eastAsia" w:ascii="仿宋_GB2312" w:hAnsi="仿宋_GB2312" w:eastAsia="仿宋_GB2312" w:cs="仿宋_GB2312"/>
                <w:b/>
                <w:color w:val="auto"/>
                <w:sz w:val="21"/>
                <w:szCs w:val="21"/>
                <w:highlight w:val="none"/>
              </w:rPr>
            </w:pPr>
            <w:r>
              <w:rPr>
                <w:rFonts w:hint="eastAsia" w:ascii="仿宋_GB2312" w:hAnsi="仿宋_GB2312" w:eastAsia="仿宋_GB2312" w:cs="仿宋_GB2312"/>
                <w:b/>
                <w:color w:val="auto"/>
                <w:sz w:val="21"/>
                <w:szCs w:val="21"/>
                <w:highlight w:val="none"/>
              </w:rPr>
              <w:t>面积（km</w:t>
            </w:r>
            <w:r>
              <w:rPr>
                <w:rFonts w:hint="eastAsia" w:ascii="仿宋_GB2312" w:hAnsi="仿宋_GB2312" w:eastAsia="仿宋_GB2312" w:cs="仿宋_GB2312"/>
                <w:b/>
                <w:color w:val="auto"/>
                <w:sz w:val="21"/>
                <w:szCs w:val="21"/>
                <w:highlight w:val="none"/>
                <w:vertAlign w:val="superscript"/>
              </w:rPr>
              <w:t>2</w:t>
            </w:r>
            <w:r>
              <w:rPr>
                <w:rFonts w:hint="eastAsia" w:ascii="仿宋_GB2312" w:hAnsi="仿宋_GB2312" w:eastAsia="仿宋_GB2312" w:cs="仿宋_GB2312"/>
                <w:b/>
                <w:color w:val="auto"/>
                <w:sz w:val="21"/>
                <w:szCs w:val="21"/>
                <w:highlight w:val="none"/>
              </w:rPr>
              <w:t>）</w:t>
            </w:r>
          </w:p>
        </w:tc>
      </w:tr>
      <w:tr w14:paraId="0F9507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83" w:type="dxa"/>
            <w:vMerge w:val="restart"/>
            <w:tcBorders>
              <w:top w:val="single" w:color="auto" w:sz="12" w:space="0"/>
            </w:tcBorders>
            <w:vAlign w:val="center"/>
          </w:tcPr>
          <w:p w14:paraId="5AABE4D0">
            <w:pPr>
              <w:spacing w:line="240" w:lineRule="auto"/>
              <w:ind w:firstLine="0" w:firstLineChars="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p>
        </w:tc>
        <w:tc>
          <w:tcPr>
            <w:tcW w:w="1383" w:type="dxa"/>
            <w:vMerge w:val="restart"/>
            <w:tcBorders>
              <w:top w:val="single" w:color="auto" w:sz="12" w:space="0"/>
            </w:tcBorders>
            <w:vAlign w:val="center"/>
          </w:tcPr>
          <w:p w14:paraId="37C046EE">
            <w:pPr>
              <w:spacing w:line="240" w:lineRule="auto"/>
              <w:ind w:firstLine="0" w:firstLineChars="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饮用水源保护区禁养区</w:t>
            </w:r>
          </w:p>
        </w:tc>
        <w:tc>
          <w:tcPr>
            <w:tcW w:w="2378" w:type="dxa"/>
            <w:tcBorders>
              <w:top w:val="single" w:color="auto" w:sz="12" w:space="0"/>
              <w:bottom w:val="single" w:color="auto" w:sz="4" w:space="0"/>
            </w:tcBorders>
            <w:shd w:val="clear" w:color="auto" w:fill="auto"/>
            <w:vAlign w:val="center"/>
          </w:tcPr>
          <w:p w14:paraId="2B2F59B2">
            <w:pPr>
              <w:spacing w:line="240" w:lineRule="auto"/>
              <w:ind w:firstLine="0" w:firstLineChars="0"/>
              <w:jc w:val="center"/>
              <w:rPr>
                <w:rFonts w:hint="eastAsia" w:ascii="仿宋_GB2312" w:hAnsi="仿宋_GB2312" w:eastAsia="仿宋_GB2312" w:cs="仿宋_GB2312"/>
                <w:b/>
                <w:color w:val="auto"/>
                <w:sz w:val="21"/>
                <w:szCs w:val="21"/>
                <w:highlight w:val="none"/>
              </w:rPr>
            </w:pPr>
            <w:r>
              <w:rPr>
                <w:rFonts w:hint="eastAsia" w:ascii="仿宋_GB2312" w:hAnsi="仿宋_GB2312" w:eastAsia="仿宋_GB2312" w:cs="仿宋_GB2312"/>
                <w:color w:val="auto"/>
                <w:sz w:val="21"/>
                <w:szCs w:val="21"/>
                <w:highlight w:val="none"/>
              </w:rPr>
              <w:t>双港水厂饮用水源地保护区禁养区</w:t>
            </w:r>
          </w:p>
        </w:tc>
        <w:tc>
          <w:tcPr>
            <w:tcW w:w="2454" w:type="dxa"/>
            <w:vMerge w:val="restart"/>
            <w:tcBorders>
              <w:top w:val="single" w:color="auto" w:sz="12" w:space="0"/>
            </w:tcBorders>
            <w:vAlign w:val="center"/>
          </w:tcPr>
          <w:p w14:paraId="150F9D56">
            <w:pPr>
              <w:spacing w:line="240" w:lineRule="auto"/>
              <w:ind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双港、城北水厂饮用水源地一级保护区和二级保护区</w:t>
            </w:r>
            <w:r>
              <w:rPr>
                <w:rFonts w:hint="eastAsia" w:ascii="仿宋_GB2312" w:hAnsi="仿宋_GB2312" w:eastAsia="仿宋_GB2312" w:cs="仿宋_GB2312"/>
                <w:color w:val="auto"/>
                <w:sz w:val="21"/>
                <w:szCs w:val="21"/>
                <w:highlight w:val="none"/>
                <w:lang w:val="en-US" w:eastAsia="zh-CN"/>
              </w:rPr>
              <w:t>区域</w:t>
            </w:r>
          </w:p>
        </w:tc>
        <w:tc>
          <w:tcPr>
            <w:tcW w:w="1623" w:type="dxa"/>
            <w:vMerge w:val="restart"/>
            <w:tcBorders>
              <w:top w:val="single" w:color="auto" w:sz="12" w:space="0"/>
            </w:tcBorders>
            <w:vAlign w:val="center"/>
          </w:tcPr>
          <w:p w14:paraId="73B5D150">
            <w:pPr>
              <w:spacing w:line="240" w:lineRule="auto"/>
              <w:ind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cs="仿宋_GB2312"/>
                <w:color w:val="auto"/>
                <w:sz w:val="21"/>
                <w:szCs w:val="21"/>
                <w:highlight w:val="none"/>
                <w:lang w:val="en-US" w:eastAsia="zh-CN"/>
              </w:rPr>
              <w:t>0.476</w:t>
            </w:r>
          </w:p>
        </w:tc>
      </w:tr>
      <w:tr w14:paraId="5944E9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683" w:type="dxa"/>
            <w:vMerge w:val="continue"/>
            <w:vAlign w:val="center"/>
          </w:tcPr>
          <w:p w14:paraId="09E22F80">
            <w:pPr>
              <w:spacing w:line="240" w:lineRule="auto"/>
              <w:ind w:firstLine="0" w:firstLineChars="0"/>
              <w:jc w:val="center"/>
              <w:rPr>
                <w:rFonts w:hint="eastAsia" w:ascii="仿宋_GB2312" w:hAnsi="仿宋_GB2312" w:eastAsia="仿宋_GB2312" w:cs="仿宋_GB2312"/>
                <w:color w:val="auto"/>
                <w:sz w:val="21"/>
                <w:szCs w:val="21"/>
                <w:highlight w:val="none"/>
              </w:rPr>
            </w:pPr>
          </w:p>
        </w:tc>
        <w:tc>
          <w:tcPr>
            <w:tcW w:w="1383" w:type="dxa"/>
            <w:vMerge w:val="continue"/>
            <w:vAlign w:val="center"/>
          </w:tcPr>
          <w:p w14:paraId="77998C7B">
            <w:pPr>
              <w:spacing w:line="240" w:lineRule="auto"/>
              <w:ind w:firstLine="0" w:firstLineChars="0"/>
              <w:jc w:val="center"/>
              <w:rPr>
                <w:rFonts w:hint="eastAsia" w:ascii="仿宋_GB2312" w:hAnsi="仿宋_GB2312" w:eastAsia="仿宋_GB2312" w:cs="仿宋_GB2312"/>
                <w:color w:val="auto"/>
                <w:sz w:val="21"/>
                <w:szCs w:val="21"/>
                <w:highlight w:val="none"/>
              </w:rPr>
            </w:pPr>
          </w:p>
        </w:tc>
        <w:tc>
          <w:tcPr>
            <w:tcW w:w="2378" w:type="dxa"/>
            <w:tcBorders>
              <w:top w:val="single" w:color="auto" w:sz="4" w:space="0"/>
              <w:bottom w:val="single" w:color="auto" w:sz="4" w:space="0"/>
            </w:tcBorders>
            <w:shd w:val="clear" w:color="auto" w:fill="auto"/>
            <w:vAlign w:val="center"/>
          </w:tcPr>
          <w:p w14:paraId="312C06A1">
            <w:pPr>
              <w:spacing w:line="240" w:lineRule="auto"/>
              <w:ind w:firstLine="0" w:firstLineChars="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城北水厂饮用水源地保护区禁养区</w:t>
            </w:r>
          </w:p>
        </w:tc>
        <w:tc>
          <w:tcPr>
            <w:tcW w:w="2454" w:type="dxa"/>
            <w:vMerge w:val="continue"/>
            <w:tcBorders>
              <w:bottom w:val="single" w:color="auto" w:sz="4" w:space="0"/>
            </w:tcBorders>
            <w:vAlign w:val="center"/>
          </w:tcPr>
          <w:p w14:paraId="6D9E3668">
            <w:pPr>
              <w:spacing w:line="240" w:lineRule="auto"/>
              <w:ind w:firstLine="0" w:firstLineChars="0"/>
              <w:jc w:val="center"/>
              <w:rPr>
                <w:rFonts w:hint="eastAsia" w:ascii="仿宋_GB2312" w:hAnsi="仿宋_GB2312" w:eastAsia="仿宋_GB2312" w:cs="仿宋_GB2312"/>
                <w:color w:val="auto"/>
                <w:sz w:val="21"/>
                <w:szCs w:val="21"/>
                <w:highlight w:val="none"/>
              </w:rPr>
            </w:pPr>
          </w:p>
        </w:tc>
        <w:tc>
          <w:tcPr>
            <w:tcW w:w="1623" w:type="dxa"/>
            <w:vMerge w:val="continue"/>
            <w:tcBorders>
              <w:bottom w:val="single" w:color="auto" w:sz="4" w:space="0"/>
            </w:tcBorders>
            <w:vAlign w:val="center"/>
          </w:tcPr>
          <w:p w14:paraId="1B23E5D5">
            <w:pPr>
              <w:spacing w:line="240" w:lineRule="auto"/>
              <w:ind w:firstLine="0" w:firstLineChars="0"/>
              <w:jc w:val="center"/>
              <w:rPr>
                <w:rFonts w:hint="eastAsia" w:ascii="仿宋_GB2312" w:hAnsi="仿宋_GB2312" w:eastAsia="仿宋_GB2312" w:cs="仿宋_GB2312"/>
                <w:color w:val="auto"/>
                <w:sz w:val="21"/>
                <w:szCs w:val="21"/>
                <w:highlight w:val="none"/>
              </w:rPr>
            </w:pPr>
          </w:p>
        </w:tc>
      </w:tr>
      <w:tr w14:paraId="0E91DE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83" w:type="dxa"/>
            <w:vMerge w:val="continue"/>
            <w:vAlign w:val="center"/>
          </w:tcPr>
          <w:p w14:paraId="59256688">
            <w:pPr>
              <w:spacing w:line="240" w:lineRule="auto"/>
              <w:ind w:firstLine="0" w:firstLineChars="0"/>
              <w:jc w:val="center"/>
              <w:rPr>
                <w:rFonts w:hint="eastAsia" w:ascii="仿宋_GB2312" w:hAnsi="仿宋_GB2312" w:eastAsia="仿宋_GB2312" w:cs="仿宋_GB2312"/>
                <w:color w:val="auto"/>
                <w:sz w:val="21"/>
                <w:szCs w:val="21"/>
                <w:highlight w:val="none"/>
              </w:rPr>
            </w:pPr>
          </w:p>
        </w:tc>
        <w:tc>
          <w:tcPr>
            <w:tcW w:w="1383" w:type="dxa"/>
            <w:vMerge w:val="continue"/>
            <w:vAlign w:val="center"/>
          </w:tcPr>
          <w:p w14:paraId="141FC116">
            <w:pPr>
              <w:spacing w:line="240" w:lineRule="auto"/>
              <w:ind w:firstLine="0" w:firstLineChars="0"/>
              <w:jc w:val="center"/>
              <w:rPr>
                <w:rFonts w:hint="eastAsia" w:ascii="仿宋_GB2312" w:hAnsi="仿宋_GB2312" w:eastAsia="仿宋_GB2312" w:cs="仿宋_GB2312"/>
                <w:color w:val="auto"/>
                <w:sz w:val="21"/>
                <w:szCs w:val="21"/>
                <w:highlight w:val="none"/>
              </w:rPr>
            </w:pPr>
          </w:p>
        </w:tc>
        <w:tc>
          <w:tcPr>
            <w:tcW w:w="2378" w:type="dxa"/>
            <w:tcBorders>
              <w:top w:val="single" w:color="auto" w:sz="4" w:space="0"/>
              <w:bottom w:val="single" w:color="auto" w:sz="4" w:space="0"/>
            </w:tcBorders>
            <w:shd w:val="clear" w:color="auto" w:fill="auto"/>
            <w:vAlign w:val="center"/>
          </w:tcPr>
          <w:p w14:paraId="2AD5414C">
            <w:pPr>
              <w:spacing w:line="240" w:lineRule="auto"/>
              <w:ind w:firstLine="0" w:firstLineChars="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红角洲水厂饮用水源地保护区禁养区</w:t>
            </w:r>
          </w:p>
        </w:tc>
        <w:tc>
          <w:tcPr>
            <w:tcW w:w="2454" w:type="dxa"/>
            <w:vMerge w:val="restart"/>
            <w:tcBorders>
              <w:top w:val="single" w:color="auto" w:sz="4" w:space="0"/>
            </w:tcBorders>
            <w:vAlign w:val="center"/>
          </w:tcPr>
          <w:p w14:paraId="0075FA20">
            <w:pPr>
              <w:spacing w:line="240" w:lineRule="auto"/>
              <w:ind w:firstLine="0" w:firstLineChars="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红角洲、生米</w:t>
            </w:r>
            <w:r>
              <w:rPr>
                <w:rFonts w:hint="eastAsia" w:ascii="仿宋_GB2312" w:hAnsi="仿宋_GB2312" w:eastAsia="仿宋_GB2312" w:cs="仿宋_GB2312"/>
                <w:color w:val="auto"/>
                <w:sz w:val="21"/>
                <w:szCs w:val="21"/>
                <w:highlight w:val="none"/>
                <w:lang w:eastAsia="zh-CN"/>
              </w:rPr>
              <w:t>、</w:t>
            </w:r>
            <w:r>
              <w:rPr>
                <w:rFonts w:hint="eastAsia" w:ascii="仿宋_GB2312" w:hAnsi="仿宋_GB2312" w:eastAsia="仿宋_GB2312" w:cs="仿宋_GB2312"/>
                <w:color w:val="auto"/>
                <w:sz w:val="21"/>
                <w:szCs w:val="21"/>
                <w:highlight w:val="none"/>
                <w:lang w:val="en-US" w:eastAsia="zh-CN"/>
              </w:rPr>
              <w:t>昌南</w:t>
            </w:r>
            <w:r>
              <w:rPr>
                <w:rFonts w:hint="eastAsia" w:ascii="仿宋_GB2312" w:hAnsi="仿宋_GB2312" w:eastAsia="仿宋_GB2312" w:cs="仿宋_GB2312"/>
                <w:color w:val="auto"/>
                <w:sz w:val="21"/>
                <w:szCs w:val="21"/>
                <w:highlight w:val="none"/>
              </w:rPr>
              <w:t>水厂饮用水源地一级保护区和二级保护区</w:t>
            </w:r>
            <w:r>
              <w:rPr>
                <w:rFonts w:hint="eastAsia" w:ascii="仿宋_GB2312" w:hAnsi="仿宋_GB2312" w:eastAsia="仿宋_GB2312" w:cs="仿宋_GB2312"/>
                <w:color w:val="auto"/>
                <w:sz w:val="21"/>
                <w:szCs w:val="21"/>
                <w:highlight w:val="none"/>
                <w:lang w:val="en-US" w:eastAsia="zh-CN"/>
              </w:rPr>
              <w:t>区域</w:t>
            </w:r>
          </w:p>
        </w:tc>
        <w:tc>
          <w:tcPr>
            <w:tcW w:w="1623" w:type="dxa"/>
            <w:vMerge w:val="restart"/>
            <w:tcBorders>
              <w:top w:val="single" w:color="auto" w:sz="4" w:space="0"/>
            </w:tcBorders>
            <w:vAlign w:val="center"/>
          </w:tcPr>
          <w:p w14:paraId="5E8C257D">
            <w:pPr>
              <w:spacing w:line="240" w:lineRule="auto"/>
              <w:ind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cs="仿宋_GB2312"/>
                <w:color w:val="auto"/>
                <w:sz w:val="21"/>
                <w:szCs w:val="21"/>
                <w:highlight w:val="none"/>
                <w:lang w:val="en-US" w:eastAsia="zh-CN"/>
              </w:rPr>
              <w:t>11.543</w:t>
            </w:r>
          </w:p>
        </w:tc>
      </w:tr>
      <w:tr w14:paraId="7C7AAC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83" w:type="dxa"/>
            <w:vMerge w:val="continue"/>
            <w:vAlign w:val="center"/>
          </w:tcPr>
          <w:p w14:paraId="27853D61">
            <w:pPr>
              <w:spacing w:line="240" w:lineRule="auto"/>
              <w:ind w:firstLine="0" w:firstLineChars="0"/>
              <w:jc w:val="center"/>
              <w:rPr>
                <w:rFonts w:hint="eastAsia" w:ascii="仿宋_GB2312" w:hAnsi="仿宋_GB2312" w:eastAsia="仿宋_GB2312" w:cs="仿宋_GB2312"/>
                <w:color w:val="auto"/>
                <w:sz w:val="21"/>
                <w:szCs w:val="21"/>
                <w:highlight w:val="none"/>
              </w:rPr>
            </w:pPr>
          </w:p>
        </w:tc>
        <w:tc>
          <w:tcPr>
            <w:tcW w:w="1383" w:type="dxa"/>
            <w:vMerge w:val="continue"/>
            <w:vAlign w:val="center"/>
          </w:tcPr>
          <w:p w14:paraId="7DF7156C">
            <w:pPr>
              <w:spacing w:line="240" w:lineRule="auto"/>
              <w:ind w:firstLine="0" w:firstLineChars="0"/>
              <w:jc w:val="center"/>
              <w:rPr>
                <w:rFonts w:hint="eastAsia" w:ascii="仿宋_GB2312" w:hAnsi="仿宋_GB2312" w:eastAsia="仿宋_GB2312" w:cs="仿宋_GB2312"/>
                <w:color w:val="auto"/>
                <w:sz w:val="21"/>
                <w:szCs w:val="21"/>
                <w:highlight w:val="none"/>
              </w:rPr>
            </w:pPr>
          </w:p>
        </w:tc>
        <w:tc>
          <w:tcPr>
            <w:tcW w:w="2378" w:type="dxa"/>
            <w:tcBorders>
              <w:top w:val="single" w:color="auto" w:sz="4" w:space="0"/>
              <w:bottom w:val="single" w:color="auto" w:sz="4" w:space="0"/>
            </w:tcBorders>
            <w:shd w:val="clear" w:color="auto" w:fill="auto"/>
            <w:vAlign w:val="center"/>
          </w:tcPr>
          <w:p w14:paraId="294FF48D">
            <w:pPr>
              <w:spacing w:line="240" w:lineRule="auto"/>
              <w:ind w:firstLine="0" w:firstLineChars="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生米水厂饮用水源地保护区禁养区</w:t>
            </w:r>
          </w:p>
        </w:tc>
        <w:tc>
          <w:tcPr>
            <w:tcW w:w="2454" w:type="dxa"/>
            <w:vMerge w:val="continue"/>
            <w:vAlign w:val="center"/>
          </w:tcPr>
          <w:p w14:paraId="172AA282">
            <w:pPr>
              <w:spacing w:line="240" w:lineRule="auto"/>
              <w:ind w:firstLine="0" w:firstLineChars="0"/>
              <w:jc w:val="center"/>
              <w:rPr>
                <w:rFonts w:hint="eastAsia" w:ascii="仿宋_GB2312" w:hAnsi="仿宋_GB2312" w:eastAsia="仿宋_GB2312" w:cs="仿宋_GB2312"/>
                <w:color w:val="auto"/>
                <w:sz w:val="21"/>
                <w:szCs w:val="21"/>
                <w:highlight w:val="none"/>
              </w:rPr>
            </w:pPr>
          </w:p>
        </w:tc>
        <w:tc>
          <w:tcPr>
            <w:tcW w:w="1623" w:type="dxa"/>
            <w:vMerge w:val="continue"/>
            <w:vAlign w:val="center"/>
          </w:tcPr>
          <w:p w14:paraId="7CD4E01A">
            <w:pPr>
              <w:spacing w:line="240" w:lineRule="auto"/>
              <w:ind w:firstLine="0" w:firstLineChars="0"/>
              <w:jc w:val="center"/>
              <w:rPr>
                <w:rFonts w:hint="eastAsia" w:ascii="仿宋_GB2312" w:hAnsi="仿宋_GB2312" w:eastAsia="仿宋_GB2312" w:cs="仿宋_GB2312"/>
                <w:color w:val="auto"/>
                <w:sz w:val="21"/>
                <w:szCs w:val="21"/>
                <w:highlight w:val="none"/>
              </w:rPr>
            </w:pPr>
          </w:p>
        </w:tc>
      </w:tr>
      <w:tr w14:paraId="78BE84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c>
          <w:tcPr>
            <w:tcW w:w="683" w:type="dxa"/>
            <w:vMerge w:val="continue"/>
            <w:tcBorders>
              <w:bottom w:val="single" w:color="auto" w:sz="4" w:space="0"/>
            </w:tcBorders>
            <w:vAlign w:val="center"/>
          </w:tcPr>
          <w:p w14:paraId="7EEBD9BD">
            <w:pPr>
              <w:spacing w:line="240" w:lineRule="auto"/>
              <w:ind w:firstLine="0" w:firstLineChars="0"/>
              <w:jc w:val="center"/>
              <w:rPr>
                <w:rFonts w:hint="eastAsia" w:ascii="仿宋_GB2312" w:hAnsi="仿宋_GB2312" w:eastAsia="仿宋_GB2312" w:cs="仿宋_GB2312"/>
                <w:color w:val="auto"/>
                <w:sz w:val="21"/>
                <w:szCs w:val="21"/>
                <w:highlight w:val="none"/>
              </w:rPr>
            </w:pPr>
          </w:p>
        </w:tc>
        <w:tc>
          <w:tcPr>
            <w:tcW w:w="1383" w:type="dxa"/>
            <w:vMerge w:val="continue"/>
            <w:tcBorders>
              <w:bottom w:val="single" w:color="auto" w:sz="4" w:space="0"/>
            </w:tcBorders>
            <w:vAlign w:val="center"/>
          </w:tcPr>
          <w:p w14:paraId="50C0C06F">
            <w:pPr>
              <w:spacing w:line="240" w:lineRule="auto"/>
              <w:ind w:firstLine="0" w:firstLineChars="0"/>
              <w:jc w:val="center"/>
              <w:rPr>
                <w:rFonts w:hint="eastAsia" w:ascii="仿宋_GB2312" w:hAnsi="仿宋_GB2312" w:eastAsia="仿宋_GB2312" w:cs="仿宋_GB2312"/>
                <w:color w:val="auto"/>
                <w:sz w:val="21"/>
                <w:szCs w:val="21"/>
                <w:highlight w:val="none"/>
              </w:rPr>
            </w:pPr>
          </w:p>
        </w:tc>
        <w:tc>
          <w:tcPr>
            <w:tcW w:w="2378" w:type="dxa"/>
            <w:tcBorders>
              <w:top w:val="single" w:color="auto" w:sz="4" w:space="0"/>
              <w:bottom w:val="single" w:color="auto" w:sz="4" w:space="0"/>
            </w:tcBorders>
            <w:shd w:val="clear" w:color="auto" w:fill="auto"/>
            <w:vAlign w:val="center"/>
          </w:tcPr>
          <w:p w14:paraId="33F96948">
            <w:pPr>
              <w:spacing w:line="240" w:lineRule="auto"/>
              <w:ind w:firstLine="0" w:firstLineChars="0"/>
              <w:jc w:val="center"/>
              <w:rPr>
                <w:rFonts w:hint="eastAsia" w:ascii="仿宋_GB2312" w:hAnsi="仿宋_GB2312" w:eastAsia="仿宋_GB2312" w:cs="仿宋_GB2312"/>
                <w:color w:val="auto"/>
                <w:sz w:val="21"/>
                <w:szCs w:val="21"/>
                <w:highlight w:val="none"/>
              </w:rPr>
            </w:pPr>
            <w:r>
              <w:rPr>
                <w:rFonts w:hint="eastAsia" w:cs="仿宋_GB2312"/>
                <w:color w:val="auto"/>
                <w:sz w:val="21"/>
                <w:szCs w:val="21"/>
                <w:highlight w:val="none"/>
                <w:lang w:val="en-US" w:eastAsia="zh-CN"/>
              </w:rPr>
              <w:t>昌南</w:t>
            </w:r>
            <w:r>
              <w:rPr>
                <w:rFonts w:hint="eastAsia" w:ascii="仿宋_GB2312" w:hAnsi="仿宋_GB2312" w:eastAsia="仿宋_GB2312" w:cs="仿宋_GB2312"/>
                <w:color w:val="auto"/>
                <w:sz w:val="21"/>
                <w:szCs w:val="21"/>
                <w:highlight w:val="none"/>
              </w:rPr>
              <w:t>水厂饮用水源地保护区禁养区</w:t>
            </w:r>
          </w:p>
        </w:tc>
        <w:tc>
          <w:tcPr>
            <w:tcW w:w="2454" w:type="dxa"/>
            <w:vMerge w:val="continue"/>
            <w:tcBorders>
              <w:bottom w:val="single" w:color="auto" w:sz="4" w:space="0"/>
            </w:tcBorders>
            <w:vAlign w:val="center"/>
          </w:tcPr>
          <w:p w14:paraId="726F715E">
            <w:pPr>
              <w:spacing w:line="240" w:lineRule="auto"/>
              <w:ind w:firstLine="0" w:firstLineChars="0"/>
              <w:jc w:val="center"/>
              <w:rPr>
                <w:rFonts w:hint="eastAsia" w:ascii="仿宋_GB2312" w:hAnsi="仿宋_GB2312" w:eastAsia="仿宋_GB2312" w:cs="仿宋_GB2312"/>
                <w:color w:val="auto"/>
                <w:sz w:val="21"/>
                <w:szCs w:val="21"/>
                <w:highlight w:val="none"/>
              </w:rPr>
            </w:pPr>
          </w:p>
        </w:tc>
        <w:tc>
          <w:tcPr>
            <w:tcW w:w="1623" w:type="dxa"/>
            <w:vMerge w:val="continue"/>
            <w:tcBorders>
              <w:bottom w:val="single" w:color="auto" w:sz="4" w:space="0"/>
            </w:tcBorders>
            <w:vAlign w:val="center"/>
          </w:tcPr>
          <w:p w14:paraId="204C935B">
            <w:pPr>
              <w:spacing w:line="240" w:lineRule="auto"/>
              <w:ind w:firstLine="0" w:firstLineChars="0"/>
              <w:jc w:val="center"/>
              <w:rPr>
                <w:rFonts w:hint="default" w:ascii="仿宋_GB2312" w:hAnsi="仿宋_GB2312" w:eastAsia="仿宋_GB2312" w:cs="仿宋_GB2312"/>
                <w:color w:val="auto"/>
                <w:sz w:val="21"/>
                <w:szCs w:val="21"/>
                <w:highlight w:val="none"/>
                <w:lang w:val="en-US" w:eastAsia="zh-CN"/>
              </w:rPr>
            </w:pPr>
          </w:p>
        </w:tc>
      </w:tr>
      <w:tr w14:paraId="0548F9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83" w:type="dxa"/>
            <w:vMerge w:val="restart"/>
            <w:tcBorders>
              <w:top w:val="single" w:color="auto" w:sz="4" w:space="0"/>
            </w:tcBorders>
            <w:vAlign w:val="center"/>
          </w:tcPr>
          <w:p w14:paraId="36A156C3">
            <w:pPr>
              <w:spacing w:line="240" w:lineRule="auto"/>
              <w:ind w:firstLine="0" w:firstLineChars="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w:t>
            </w:r>
          </w:p>
        </w:tc>
        <w:tc>
          <w:tcPr>
            <w:tcW w:w="1383" w:type="dxa"/>
            <w:vMerge w:val="restart"/>
            <w:tcBorders>
              <w:top w:val="single" w:color="auto" w:sz="4" w:space="0"/>
            </w:tcBorders>
            <w:vAlign w:val="center"/>
          </w:tcPr>
          <w:p w14:paraId="00560EC9">
            <w:pPr>
              <w:spacing w:line="240" w:lineRule="auto"/>
              <w:ind w:firstLine="0" w:firstLineChars="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城镇居民和文化教育科学研究区禁养区</w:t>
            </w:r>
          </w:p>
        </w:tc>
        <w:tc>
          <w:tcPr>
            <w:tcW w:w="2378" w:type="dxa"/>
            <w:tcBorders>
              <w:top w:val="single" w:color="auto" w:sz="4" w:space="0"/>
              <w:bottom w:val="single" w:color="auto" w:sz="4" w:space="0"/>
            </w:tcBorders>
            <w:vAlign w:val="center"/>
          </w:tcPr>
          <w:p w14:paraId="4BC845C3">
            <w:pPr>
              <w:spacing w:line="240" w:lineRule="auto"/>
              <w:ind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中心城区</w:t>
            </w:r>
            <w:r>
              <w:rPr>
                <w:rFonts w:hint="eastAsia" w:ascii="仿宋_GB2312" w:hAnsi="仿宋_GB2312" w:eastAsia="仿宋_GB2312" w:cs="仿宋_GB2312"/>
                <w:color w:val="auto"/>
                <w:sz w:val="21"/>
                <w:szCs w:val="21"/>
                <w:highlight w:val="none"/>
                <w:lang w:val="en-US" w:eastAsia="zh-CN"/>
              </w:rPr>
              <w:t>六街道</w:t>
            </w:r>
          </w:p>
        </w:tc>
        <w:tc>
          <w:tcPr>
            <w:tcW w:w="2454" w:type="dxa"/>
            <w:tcBorders>
              <w:top w:val="single" w:color="auto" w:sz="4" w:space="0"/>
              <w:bottom w:val="single" w:color="auto" w:sz="4" w:space="0"/>
            </w:tcBorders>
            <w:vAlign w:val="center"/>
          </w:tcPr>
          <w:p w14:paraId="77BE1AEA">
            <w:pPr>
              <w:spacing w:line="240" w:lineRule="auto"/>
              <w:ind w:firstLine="0" w:firstLineChars="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中心城区建成区</w:t>
            </w:r>
          </w:p>
        </w:tc>
        <w:tc>
          <w:tcPr>
            <w:tcW w:w="1623" w:type="dxa"/>
            <w:tcBorders>
              <w:top w:val="single" w:color="auto" w:sz="4" w:space="0"/>
              <w:bottom w:val="single" w:color="auto" w:sz="4" w:space="0"/>
            </w:tcBorders>
            <w:vAlign w:val="center"/>
          </w:tcPr>
          <w:p w14:paraId="614A913E">
            <w:pPr>
              <w:spacing w:line="240" w:lineRule="auto"/>
              <w:ind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cs="仿宋_GB2312"/>
                <w:color w:val="auto"/>
                <w:sz w:val="21"/>
                <w:szCs w:val="21"/>
                <w:highlight w:val="none"/>
                <w:lang w:val="en-US" w:eastAsia="zh-CN"/>
              </w:rPr>
              <w:t>109.34</w:t>
            </w:r>
          </w:p>
        </w:tc>
      </w:tr>
      <w:tr w14:paraId="09B33F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83" w:type="dxa"/>
            <w:vMerge w:val="continue"/>
            <w:vAlign w:val="center"/>
          </w:tcPr>
          <w:p w14:paraId="7E9B5DCE">
            <w:pPr>
              <w:spacing w:line="240" w:lineRule="auto"/>
              <w:ind w:firstLine="0" w:firstLineChars="0"/>
              <w:jc w:val="center"/>
              <w:rPr>
                <w:rFonts w:hint="eastAsia" w:ascii="仿宋_GB2312" w:hAnsi="仿宋_GB2312" w:eastAsia="仿宋_GB2312" w:cs="仿宋_GB2312"/>
                <w:color w:val="auto"/>
                <w:sz w:val="21"/>
                <w:szCs w:val="21"/>
                <w:highlight w:val="none"/>
              </w:rPr>
            </w:pPr>
          </w:p>
        </w:tc>
        <w:tc>
          <w:tcPr>
            <w:tcW w:w="1383" w:type="dxa"/>
            <w:vMerge w:val="continue"/>
            <w:vAlign w:val="center"/>
          </w:tcPr>
          <w:p w14:paraId="4FCDC358">
            <w:pPr>
              <w:spacing w:line="240" w:lineRule="auto"/>
              <w:ind w:firstLine="0" w:firstLineChars="0"/>
              <w:jc w:val="center"/>
              <w:rPr>
                <w:rFonts w:hint="eastAsia" w:ascii="仿宋_GB2312" w:hAnsi="仿宋_GB2312" w:eastAsia="仿宋_GB2312" w:cs="仿宋_GB2312"/>
                <w:color w:val="auto"/>
                <w:sz w:val="21"/>
                <w:szCs w:val="21"/>
                <w:highlight w:val="none"/>
              </w:rPr>
            </w:pPr>
          </w:p>
        </w:tc>
        <w:tc>
          <w:tcPr>
            <w:tcW w:w="2378" w:type="dxa"/>
            <w:tcBorders>
              <w:top w:val="single" w:color="auto" w:sz="4" w:space="0"/>
              <w:bottom w:val="single" w:color="auto" w:sz="4" w:space="0"/>
            </w:tcBorders>
            <w:shd w:val="clear" w:color="auto" w:fill="auto"/>
            <w:vAlign w:val="center"/>
          </w:tcPr>
          <w:p w14:paraId="0D7E6BEA">
            <w:pPr>
              <w:spacing w:line="240" w:lineRule="auto"/>
              <w:ind w:firstLine="0" w:firstLineChars="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生米街道</w:t>
            </w:r>
          </w:p>
        </w:tc>
        <w:tc>
          <w:tcPr>
            <w:tcW w:w="2454" w:type="dxa"/>
            <w:tcBorders>
              <w:top w:val="single" w:color="auto" w:sz="4" w:space="0"/>
              <w:bottom w:val="single" w:color="auto" w:sz="4" w:space="0"/>
            </w:tcBorders>
            <w:vAlign w:val="center"/>
          </w:tcPr>
          <w:p w14:paraId="6B916A60">
            <w:pPr>
              <w:spacing w:line="240" w:lineRule="auto"/>
              <w:ind w:firstLine="0" w:firstLineChars="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生米街道建成区</w:t>
            </w:r>
          </w:p>
        </w:tc>
        <w:tc>
          <w:tcPr>
            <w:tcW w:w="1623" w:type="dxa"/>
            <w:tcBorders>
              <w:top w:val="single" w:color="auto" w:sz="4" w:space="0"/>
              <w:bottom w:val="single" w:color="auto" w:sz="4" w:space="0"/>
            </w:tcBorders>
            <w:shd w:val="clear" w:color="auto" w:fill="auto"/>
            <w:vAlign w:val="center"/>
          </w:tcPr>
          <w:p w14:paraId="1EF79B79">
            <w:pPr>
              <w:spacing w:line="240" w:lineRule="auto"/>
              <w:ind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cs="仿宋_GB2312"/>
                <w:color w:val="auto"/>
                <w:sz w:val="21"/>
                <w:szCs w:val="21"/>
                <w:highlight w:val="none"/>
                <w:lang w:val="en-US" w:eastAsia="zh-CN"/>
              </w:rPr>
              <w:t>26.90</w:t>
            </w:r>
          </w:p>
        </w:tc>
      </w:tr>
      <w:tr w14:paraId="180B42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83" w:type="dxa"/>
            <w:vMerge w:val="continue"/>
            <w:vAlign w:val="center"/>
          </w:tcPr>
          <w:p w14:paraId="751E50C4">
            <w:pPr>
              <w:spacing w:line="240" w:lineRule="auto"/>
              <w:ind w:firstLine="0" w:firstLineChars="0"/>
              <w:jc w:val="center"/>
              <w:rPr>
                <w:rFonts w:hint="eastAsia" w:ascii="仿宋_GB2312" w:hAnsi="仿宋_GB2312" w:eastAsia="仿宋_GB2312" w:cs="仿宋_GB2312"/>
                <w:color w:val="auto"/>
                <w:sz w:val="21"/>
                <w:szCs w:val="21"/>
                <w:highlight w:val="none"/>
              </w:rPr>
            </w:pPr>
          </w:p>
        </w:tc>
        <w:tc>
          <w:tcPr>
            <w:tcW w:w="1383" w:type="dxa"/>
            <w:vMerge w:val="continue"/>
            <w:vAlign w:val="center"/>
          </w:tcPr>
          <w:p w14:paraId="55F82229">
            <w:pPr>
              <w:spacing w:line="240" w:lineRule="auto"/>
              <w:ind w:firstLine="0" w:firstLineChars="0"/>
              <w:jc w:val="center"/>
              <w:rPr>
                <w:rFonts w:hint="eastAsia" w:ascii="仿宋_GB2312" w:hAnsi="仿宋_GB2312" w:eastAsia="仿宋_GB2312" w:cs="仿宋_GB2312"/>
                <w:color w:val="auto"/>
                <w:sz w:val="21"/>
                <w:szCs w:val="21"/>
                <w:highlight w:val="none"/>
              </w:rPr>
            </w:pPr>
          </w:p>
        </w:tc>
        <w:tc>
          <w:tcPr>
            <w:tcW w:w="2378" w:type="dxa"/>
            <w:tcBorders>
              <w:top w:val="single" w:color="auto" w:sz="4" w:space="0"/>
              <w:bottom w:val="single" w:color="auto" w:sz="4" w:space="0"/>
            </w:tcBorders>
            <w:shd w:val="clear" w:color="auto" w:fill="auto"/>
            <w:vAlign w:val="center"/>
          </w:tcPr>
          <w:p w14:paraId="6710A188">
            <w:pPr>
              <w:spacing w:line="240" w:lineRule="auto"/>
              <w:ind w:firstLine="0" w:firstLineChars="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厚田镇</w:t>
            </w:r>
          </w:p>
        </w:tc>
        <w:tc>
          <w:tcPr>
            <w:tcW w:w="2454" w:type="dxa"/>
            <w:tcBorders>
              <w:top w:val="single" w:color="auto" w:sz="4" w:space="0"/>
              <w:bottom w:val="single" w:color="auto" w:sz="4" w:space="0"/>
            </w:tcBorders>
            <w:shd w:val="clear" w:color="auto" w:fill="auto"/>
            <w:vAlign w:val="center"/>
          </w:tcPr>
          <w:p w14:paraId="42DC9C15">
            <w:pPr>
              <w:spacing w:line="240" w:lineRule="auto"/>
              <w:ind w:firstLine="0" w:firstLineChars="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厚田镇建成区</w:t>
            </w:r>
          </w:p>
        </w:tc>
        <w:tc>
          <w:tcPr>
            <w:tcW w:w="1623" w:type="dxa"/>
            <w:tcBorders>
              <w:top w:val="single" w:color="auto" w:sz="4" w:space="0"/>
              <w:bottom w:val="single" w:color="auto" w:sz="4" w:space="0"/>
            </w:tcBorders>
            <w:shd w:val="clear" w:color="auto" w:fill="auto"/>
            <w:vAlign w:val="center"/>
          </w:tcPr>
          <w:p w14:paraId="12480F3D">
            <w:pPr>
              <w:spacing w:line="240" w:lineRule="auto"/>
              <w:ind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5.05</w:t>
            </w:r>
          </w:p>
        </w:tc>
      </w:tr>
      <w:tr w14:paraId="1CF7C4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83" w:type="dxa"/>
            <w:vMerge w:val="continue"/>
            <w:tcBorders>
              <w:bottom w:val="single" w:color="auto" w:sz="4" w:space="0"/>
            </w:tcBorders>
            <w:vAlign w:val="center"/>
          </w:tcPr>
          <w:p w14:paraId="55F9CC5A">
            <w:pPr>
              <w:spacing w:line="240" w:lineRule="auto"/>
              <w:ind w:firstLine="0" w:firstLineChars="0"/>
              <w:jc w:val="center"/>
              <w:rPr>
                <w:rFonts w:hint="eastAsia" w:ascii="仿宋_GB2312" w:hAnsi="仿宋_GB2312" w:eastAsia="仿宋_GB2312" w:cs="仿宋_GB2312"/>
                <w:color w:val="auto"/>
                <w:sz w:val="21"/>
                <w:szCs w:val="21"/>
                <w:highlight w:val="none"/>
              </w:rPr>
            </w:pPr>
          </w:p>
        </w:tc>
        <w:tc>
          <w:tcPr>
            <w:tcW w:w="1383" w:type="dxa"/>
            <w:vMerge w:val="continue"/>
            <w:tcBorders>
              <w:bottom w:val="single" w:color="auto" w:sz="4" w:space="0"/>
            </w:tcBorders>
            <w:vAlign w:val="center"/>
          </w:tcPr>
          <w:p w14:paraId="1DF3985A">
            <w:pPr>
              <w:spacing w:line="240" w:lineRule="auto"/>
              <w:ind w:firstLine="0" w:firstLineChars="0"/>
              <w:jc w:val="center"/>
              <w:rPr>
                <w:rFonts w:hint="eastAsia" w:ascii="仿宋_GB2312" w:hAnsi="仿宋_GB2312" w:eastAsia="仿宋_GB2312" w:cs="仿宋_GB2312"/>
                <w:color w:val="auto"/>
                <w:sz w:val="21"/>
                <w:szCs w:val="21"/>
                <w:highlight w:val="none"/>
              </w:rPr>
            </w:pPr>
          </w:p>
        </w:tc>
        <w:tc>
          <w:tcPr>
            <w:tcW w:w="2378" w:type="dxa"/>
            <w:tcBorders>
              <w:top w:val="single" w:color="auto" w:sz="4" w:space="0"/>
              <w:bottom w:val="single" w:color="auto" w:sz="4" w:space="0"/>
            </w:tcBorders>
            <w:shd w:val="clear" w:color="auto" w:fill="auto"/>
            <w:vAlign w:val="center"/>
          </w:tcPr>
          <w:p w14:paraId="227538C3">
            <w:pPr>
              <w:spacing w:line="240" w:lineRule="auto"/>
              <w:ind w:firstLine="0" w:firstLineChars="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流湖镇</w:t>
            </w:r>
          </w:p>
        </w:tc>
        <w:tc>
          <w:tcPr>
            <w:tcW w:w="2454" w:type="dxa"/>
            <w:tcBorders>
              <w:top w:val="single" w:color="auto" w:sz="4" w:space="0"/>
              <w:bottom w:val="single" w:color="auto" w:sz="4" w:space="0"/>
            </w:tcBorders>
            <w:shd w:val="clear" w:color="auto" w:fill="auto"/>
            <w:vAlign w:val="center"/>
          </w:tcPr>
          <w:p w14:paraId="610796EA">
            <w:pPr>
              <w:spacing w:line="240" w:lineRule="auto"/>
              <w:ind w:firstLine="0" w:firstLineChars="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流湖镇建成区</w:t>
            </w:r>
          </w:p>
        </w:tc>
        <w:tc>
          <w:tcPr>
            <w:tcW w:w="1623" w:type="dxa"/>
            <w:tcBorders>
              <w:top w:val="single" w:color="auto" w:sz="4" w:space="0"/>
              <w:bottom w:val="single" w:color="auto" w:sz="4" w:space="0"/>
            </w:tcBorders>
            <w:shd w:val="clear" w:color="auto" w:fill="auto"/>
            <w:vAlign w:val="center"/>
          </w:tcPr>
          <w:p w14:paraId="0DF9FC57">
            <w:pPr>
              <w:spacing w:line="240" w:lineRule="auto"/>
              <w:ind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2.73</w:t>
            </w:r>
          </w:p>
        </w:tc>
      </w:tr>
      <w:tr w14:paraId="60367B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83" w:type="dxa"/>
            <w:vMerge w:val="restart"/>
            <w:vAlign w:val="center"/>
          </w:tcPr>
          <w:p w14:paraId="5BB9CDC4">
            <w:pPr>
              <w:spacing w:line="240" w:lineRule="auto"/>
              <w:ind w:firstLine="0" w:firstLineChars="0"/>
              <w:jc w:val="center"/>
              <w:rPr>
                <w:rFonts w:hint="eastAsia" w:ascii="仿宋_GB2312" w:hAnsi="仿宋_GB2312" w:eastAsia="仿宋_GB2312" w:cs="仿宋_GB2312"/>
                <w:color w:val="auto"/>
                <w:sz w:val="21"/>
                <w:szCs w:val="21"/>
                <w:highlight w:val="none"/>
                <w:lang w:val="en-US" w:eastAsia="zh-CN"/>
              </w:rPr>
            </w:pPr>
            <w:r>
              <w:rPr>
                <w:rFonts w:hint="eastAsia" w:cs="仿宋_GB2312"/>
                <w:color w:val="auto"/>
                <w:sz w:val="21"/>
                <w:szCs w:val="21"/>
                <w:highlight w:val="none"/>
                <w:lang w:val="en-US" w:eastAsia="zh-CN"/>
              </w:rPr>
              <w:t>3</w:t>
            </w:r>
          </w:p>
        </w:tc>
        <w:tc>
          <w:tcPr>
            <w:tcW w:w="1383" w:type="dxa"/>
            <w:vMerge w:val="restart"/>
            <w:vAlign w:val="center"/>
          </w:tcPr>
          <w:p w14:paraId="39636ABA">
            <w:pPr>
              <w:spacing w:line="240" w:lineRule="auto"/>
              <w:ind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cs="仿宋_GB2312"/>
                <w:color w:val="auto"/>
                <w:sz w:val="21"/>
                <w:szCs w:val="21"/>
                <w:highlight w:val="none"/>
                <w:lang w:val="en-US" w:eastAsia="zh-CN"/>
              </w:rPr>
              <w:t>赣江、锦江河道禁养区</w:t>
            </w:r>
          </w:p>
        </w:tc>
        <w:tc>
          <w:tcPr>
            <w:tcW w:w="2378" w:type="dxa"/>
            <w:tcBorders>
              <w:top w:val="single" w:color="auto" w:sz="4" w:space="0"/>
              <w:bottom w:val="single" w:color="auto" w:sz="4" w:space="0"/>
            </w:tcBorders>
            <w:shd w:val="clear" w:color="auto" w:fill="auto"/>
            <w:vAlign w:val="center"/>
          </w:tcPr>
          <w:p w14:paraId="37FCDD58">
            <w:pPr>
              <w:spacing w:line="240" w:lineRule="auto"/>
              <w:ind w:firstLine="0" w:firstLineChars="0"/>
              <w:jc w:val="center"/>
              <w:rPr>
                <w:rFonts w:hint="eastAsia" w:ascii="仿宋_GB2312" w:hAnsi="仿宋_GB2312" w:eastAsia="仿宋_GB2312" w:cs="仿宋_GB2312"/>
                <w:color w:val="auto"/>
                <w:sz w:val="21"/>
                <w:szCs w:val="21"/>
                <w:highlight w:val="none"/>
              </w:rPr>
            </w:pPr>
            <w:r>
              <w:rPr>
                <w:rFonts w:hint="eastAsia" w:cs="仿宋_GB2312"/>
                <w:b w:val="0"/>
                <w:bCs/>
                <w:color w:val="auto"/>
                <w:sz w:val="21"/>
                <w:szCs w:val="21"/>
                <w:highlight w:val="none"/>
                <w:lang w:val="en-US" w:eastAsia="zh-CN"/>
              </w:rPr>
              <w:t>红谷滩区段赣江河道</w:t>
            </w:r>
          </w:p>
        </w:tc>
        <w:tc>
          <w:tcPr>
            <w:tcW w:w="2454" w:type="dxa"/>
            <w:tcBorders>
              <w:top w:val="single" w:color="auto" w:sz="4" w:space="0"/>
              <w:bottom w:val="single" w:color="auto" w:sz="4" w:space="0"/>
            </w:tcBorders>
            <w:shd w:val="clear" w:color="auto" w:fill="auto"/>
            <w:vAlign w:val="center"/>
          </w:tcPr>
          <w:p w14:paraId="6FB550B3">
            <w:pPr>
              <w:spacing w:line="240" w:lineRule="auto"/>
              <w:ind w:firstLine="0" w:firstLineChars="0"/>
              <w:jc w:val="center"/>
              <w:rPr>
                <w:rFonts w:hint="default" w:ascii="仿宋_GB2312" w:hAnsi="仿宋_GB2312" w:eastAsia="仿宋_GB2312" w:cs="仿宋_GB2312"/>
                <w:color w:val="auto"/>
                <w:sz w:val="21"/>
                <w:szCs w:val="21"/>
                <w:highlight w:val="none"/>
                <w:lang w:val="en-US"/>
              </w:rPr>
            </w:pPr>
            <w:r>
              <w:rPr>
                <w:rFonts w:hint="eastAsia" w:cs="仿宋_GB2312"/>
                <w:b w:val="0"/>
                <w:bCs/>
                <w:color w:val="auto"/>
                <w:sz w:val="21"/>
                <w:szCs w:val="21"/>
                <w:highlight w:val="none"/>
                <w:lang w:val="en-US" w:eastAsia="zh-CN"/>
              </w:rPr>
              <w:t>红谷滩区段赣江河道管理范围</w:t>
            </w:r>
          </w:p>
        </w:tc>
        <w:tc>
          <w:tcPr>
            <w:tcW w:w="1623" w:type="dxa"/>
            <w:tcBorders>
              <w:top w:val="single" w:color="auto" w:sz="4" w:space="0"/>
              <w:bottom w:val="single" w:color="auto" w:sz="4" w:space="0"/>
            </w:tcBorders>
            <w:shd w:val="clear" w:color="auto" w:fill="auto"/>
            <w:vAlign w:val="center"/>
          </w:tcPr>
          <w:p w14:paraId="58A335AE">
            <w:pPr>
              <w:spacing w:line="240" w:lineRule="auto"/>
              <w:ind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cs="仿宋_GB2312"/>
                <w:color w:val="auto"/>
                <w:sz w:val="21"/>
                <w:szCs w:val="21"/>
                <w:highlight w:val="none"/>
                <w:lang w:val="en-US" w:eastAsia="zh-CN"/>
              </w:rPr>
              <w:t>42.75</w:t>
            </w:r>
          </w:p>
        </w:tc>
      </w:tr>
      <w:tr w14:paraId="41500E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83" w:type="dxa"/>
            <w:vMerge w:val="continue"/>
            <w:tcBorders>
              <w:bottom w:val="single" w:color="auto" w:sz="4" w:space="0"/>
            </w:tcBorders>
            <w:vAlign w:val="center"/>
          </w:tcPr>
          <w:p w14:paraId="483F395B">
            <w:pPr>
              <w:spacing w:line="240" w:lineRule="auto"/>
              <w:ind w:firstLine="0" w:firstLineChars="0"/>
              <w:jc w:val="center"/>
              <w:rPr>
                <w:rFonts w:hint="eastAsia" w:cs="仿宋_GB2312"/>
                <w:color w:val="auto"/>
                <w:sz w:val="21"/>
                <w:szCs w:val="21"/>
                <w:highlight w:val="none"/>
                <w:lang w:val="en-US" w:eastAsia="zh-CN"/>
              </w:rPr>
            </w:pPr>
          </w:p>
        </w:tc>
        <w:tc>
          <w:tcPr>
            <w:tcW w:w="1383" w:type="dxa"/>
            <w:vMerge w:val="continue"/>
            <w:tcBorders>
              <w:bottom w:val="single" w:color="auto" w:sz="4" w:space="0"/>
            </w:tcBorders>
            <w:vAlign w:val="center"/>
          </w:tcPr>
          <w:p w14:paraId="5691BFFE">
            <w:pPr>
              <w:spacing w:line="240" w:lineRule="auto"/>
              <w:ind w:firstLine="0" w:firstLineChars="0"/>
              <w:jc w:val="center"/>
              <w:rPr>
                <w:rFonts w:hint="eastAsia" w:cs="仿宋_GB2312"/>
                <w:color w:val="auto"/>
                <w:sz w:val="21"/>
                <w:szCs w:val="21"/>
                <w:highlight w:val="none"/>
                <w:lang w:val="en-US" w:eastAsia="zh-CN"/>
              </w:rPr>
            </w:pPr>
          </w:p>
        </w:tc>
        <w:tc>
          <w:tcPr>
            <w:tcW w:w="2378" w:type="dxa"/>
            <w:tcBorders>
              <w:top w:val="single" w:color="auto" w:sz="4" w:space="0"/>
              <w:bottom w:val="single" w:color="auto" w:sz="4" w:space="0"/>
            </w:tcBorders>
            <w:shd w:val="clear" w:color="auto" w:fill="auto"/>
            <w:vAlign w:val="center"/>
          </w:tcPr>
          <w:p w14:paraId="5A55A415">
            <w:pPr>
              <w:spacing w:line="240" w:lineRule="auto"/>
              <w:ind w:firstLine="0" w:firstLineChars="0"/>
              <w:jc w:val="center"/>
              <w:rPr>
                <w:rFonts w:hint="eastAsia" w:ascii="仿宋_GB2312" w:hAnsi="仿宋_GB2312" w:eastAsia="仿宋_GB2312" w:cs="仿宋_GB2312"/>
                <w:color w:val="auto"/>
                <w:sz w:val="21"/>
                <w:szCs w:val="21"/>
                <w:highlight w:val="none"/>
              </w:rPr>
            </w:pPr>
            <w:r>
              <w:rPr>
                <w:rFonts w:hint="eastAsia" w:cs="仿宋_GB2312"/>
                <w:b w:val="0"/>
                <w:bCs/>
                <w:color w:val="auto"/>
                <w:sz w:val="21"/>
                <w:szCs w:val="21"/>
                <w:highlight w:val="none"/>
                <w:lang w:val="en-US" w:eastAsia="zh-CN"/>
              </w:rPr>
              <w:t>红谷滩区段锦江河道</w:t>
            </w:r>
          </w:p>
        </w:tc>
        <w:tc>
          <w:tcPr>
            <w:tcW w:w="2454" w:type="dxa"/>
            <w:tcBorders>
              <w:top w:val="single" w:color="auto" w:sz="4" w:space="0"/>
              <w:bottom w:val="single" w:color="auto" w:sz="4" w:space="0"/>
            </w:tcBorders>
            <w:shd w:val="clear" w:color="auto" w:fill="auto"/>
            <w:vAlign w:val="center"/>
          </w:tcPr>
          <w:p w14:paraId="7F13D4BF">
            <w:pPr>
              <w:spacing w:line="240" w:lineRule="auto"/>
              <w:ind w:firstLine="0" w:firstLineChars="0"/>
              <w:jc w:val="center"/>
              <w:rPr>
                <w:rFonts w:hint="eastAsia" w:ascii="仿宋_GB2312" w:hAnsi="仿宋_GB2312" w:eastAsia="仿宋_GB2312" w:cs="仿宋_GB2312"/>
                <w:color w:val="auto"/>
                <w:sz w:val="21"/>
                <w:szCs w:val="21"/>
                <w:highlight w:val="none"/>
              </w:rPr>
            </w:pPr>
            <w:r>
              <w:rPr>
                <w:rFonts w:hint="eastAsia" w:cs="仿宋_GB2312"/>
                <w:b w:val="0"/>
                <w:bCs/>
                <w:color w:val="auto"/>
                <w:sz w:val="21"/>
                <w:szCs w:val="21"/>
                <w:highlight w:val="none"/>
                <w:lang w:val="en-US" w:eastAsia="zh-CN"/>
              </w:rPr>
              <w:t>红谷滩区段锦江河道管理范围</w:t>
            </w:r>
          </w:p>
        </w:tc>
        <w:tc>
          <w:tcPr>
            <w:tcW w:w="1623" w:type="dxa"/>
            <w:tcBorders>
              <w:top w:val="single" w:color="auto" w:sz="4" w:space="0"/>
              <w:bottom w:val="single" w:color="auto" w:sz="4" w:space="0"/>
            </w:tcBorders>
            <w:shd w:val="clear" w:color="auto" w:fill="auto"/>
            <w:vAlign w:val="center"/>
          </w:tcPr>
          <w:p w14:paraId="20EBB842">
            <w:pPr>
              <w:spacing w:line="240" w:lineRule="auto"/>
              <w:ind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cs="仿宋_GB2312"/>
                <w:color w:val="auto"/>
                <w:sz w:val="21"/>
                <w:szCs w:val="21"/>
                <w:highlight w:val="none"/>
                <w:lang w:val="en-US" w:eastAsia="zh-CN"/>
              </w:rPr>
              <w:t>7.54</w:t>
            </w:r>
          </w:p>
        </w:tc>
      </w:tr>
      <w:tr w14:paraId="0B1704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83" w:type="dxa"/>
            <w:tcBorders>
              <w:top w:val="single" w:color="auto" w:sz="4" w:space="0"/>
              <w:bottom w:val="single" w:color="auto" w:sz="4" w:space="0"/>
            </w:tcBorders>
            <w:vAlign w:val="center"/>
          </w:tcPr>
          <w:p w14:paraId="6E66ADC8">
            <w:pPr>
              <w:spacing w:line="240" w:lineRule="auto"/>
              <w:ind w:firstLine="0" w:firstLineChars="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w:t>
            </w:r>
          </w:p>
        </w:tc>
        <w:tc>
          <w:tcPr>
            <w:tcW w:w="6215" w:type="dxa"/>
            <w:gridSpan w:val="3"/>
            <w:tcBorders>
              <w:top w:val="single" w:color="auto" w:sz="4" w:space="0"/>
              <w:bottom w:val="single" w:color="auto" w:sz="4" w:space="0"/>
            </w:tcBorders>
            <w:vAlign w:val="center"/>
          </w:tcPr>
          <w:p w14:paraId="7C52CDE6">
            <w:pPr>
              <w:spacing w:line="240" w:lineRule="auto"/>
              <w:ind w:firstLine="0" w:firstLineChars="0"/>
              <w:jc w:val="center"/>
              <w:rPr>
                <w:rFonts w:hint="eastAsia" w:ascii="仿宋_GB2312" w:hAnsi="仿宋_GB2312" w:eastAsia="仿宋_GB2312" w:cs="仿宋_GB2312"/>
                <w:color w:val="auto"/>
                <w:sz w:val="21"/>
                <w:szCs w:val="21"/>
                <w:highlight w:val="none"/>
              </w:rPr>
            </w:pPr>
            <w:r>
              <w:rPr>
                <w:rFonts w:hint="eastAsia" w:cs="仿宋_GB2312"/>
                <w:color w:val="auto"/>
                <w:sz w:val="21"/>
                <w:szCs w:val="21"/>
                <w:highlight w:val="none"/>
                <w:lang w:val="en-US" w:eastAsia="zh-CN"/>
              </w:rPr>
              <w:t>重叠</w:t>
            </w:r>
            <w:r>
              <w:rPr>
                <w:rFonts w:hint="eastAsia" w:ascii="仿宋_GB2312" w:hAnsi="仿宋_GB2312" w:eastAsia="仿宋_GB2312" w:cs="仿宋_GB2312"/>
                <w:color w:val="auto"/>
                <w:sz w:val="21"/>
                <w:szCs w:val="21"/>
                <w:highlight w:val="none"/>
              </w:rPr>
              <w:t>区域</w:t>
            </w:r>
          </w:p>
        </w:tc>
        <w:tc>
          <w:tcPr>
            <w:tcW w:w="1623" w:type="dxa"/>
            <w:tcBorders>
              <w:top w:val="single" w:color="auto" w:sz="4" w:space="0"/>
              <w:bottom w:val="single" w:color="auto" w:sz="4" w:space="0"/>
            </w:tcBorders>
            <w:vAlign w:val="center"/>
          </w:tcPr>
          <w:p w14:paraId="772E3333">
            <w:pPr>
              <w:spacing w:line="240" w:lineRule="auto"/>
              <w:ind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cs="仿宋_GB2312"/>
                <w:color w:val="auto"/>
                <w:sz w:val="21"/>
                <w:szCs w:val="21"/>
                <w:highlight w:val="none"/>
                <w:lang w:val="en-US" w:eastAsia="zh-CN"/>
              </w:rPr>
              <w:t>14.739</w:t>
            </w:r>
          </w:p>
        </w:tc>
      </w:tr>
      <w:tr w14:paraId="6703B5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6" w:hRule="atLeast"/>
        </w:trPr>
        <w:tc>
          <w:tcPr>
            <w:tcW w:w="683" w:type="dxa"/>
            <w:tcBorders>
              <w:top w:val="single" w:color="auto" w:sz="4" w:space="0"/>
              <w:bottom w:val="single" w:color="auto" w:sz="4" w:space="0"/>
            </w:tcBorders>
            <w:vAlign w:val="center"/>
          </w:tcPr>
          <w:p w14:paraId="0A0AF82D">
            <w:pPr>
              <w:spacing w:line="240" w:lineRule="auto"/>
              <w:ind w:firstLine="0" w:firstLineChars="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5</w:t>
            </w:r>
          </w:p>
        </w:tc>
        <w:tc>
          <w:tcPr>
            <w:tcW w:w="6215" w:type="dxa"/>
            <w:gridSpan w:val="3"/>
            <w:tcBorders>
              <w:top w:val="single" w:color="auto" w:sz="4" w:space="0"/>
              <w:bottom w:val="single" w:color="auto" w:sz="4" w:space="0"/>
            </w:tcBorders>
            <w:vAlign w:val="center"/>
          </w:tcPr>
          <w:p w14:paraId="5AB4C9C9">
            <w:pPr>
              <w:spacing w:line="240" w:lineRule="auto"/>
              <w:ind w:firstLine="0" w:firstLineChars="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合计</w:t>
            </w:r>
          </w:p>
        </w:tc>
        <w:tc>
          <w:tcPr>
            <w:tcW w:w="1623" w:type="dxa"/>
            <w:tcBorders>
              <w:top w:val="single" w:color="auto" w:sz="4" w:space="0"/>
              <w:bottom w:val="single" w:color="auto" w:sz="4" w:space="0"/>
            </w:tcBorders>
            <w:vAlign w:val="center"/>
          </w:tcPr>
          <w:p w14:paraId="510EE210">
            <w:pPr>
              <w:spacing w:line="240" w:lineRule="auto"/>
              <w:ind w:firstLine="0" w:firstLineChars="0"/>
              <w:jc w:val="center"/>
              <w:rPr>
                <w:rFonts w:hint="default" w:ascii="仿宋_GB2312" w:hAnsi="仿宋_GB2312" w:eastAsia="仿宋_GB2312" w:cs="仿宋_GB2312"/>
                <w:color w:val="auto"/>
                <w:sz w:val="21"/>
                <w:szCs w:val="21"/>
                <w:highlight w:val="none"/>
                <w:lang w:val="en-US" w:eastAsia="zh-CN"/>
              </w:rPr>
            </w:pPr>
            <w:r>
              <w:rPr>
                <w:rFonts w:hint="eastAsia" w:cs="仿宋_GB2312"/>
                <w:color w:val="auto"/>
                <w:sz w:val="21"/>
                <w:szCs w:val="21"/>
                <w:highlight w:val="none"/>
                <w:lang w:val="en-US" w:eastAsia="zh-CN"/>
              </w:rPr>
              <w:t>191.59</w:t>
            </w:r>
          </w:p>
        </w:tc>
      </w:tr>
      <w:tr w14:paraId="4C7C30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521" w:type="dxa"/>
            <w:gridSpan w:val="5"/>
            <w:tcBorders>
              <w:top w:val="single" w:color="auto" w:sz="4" w:space="0"/>
              <w:bottom w:val="single" w:color="auto" w:sz="12" w:space="0"/>
            </w:tcBorders>
            <w:vAlign w:val="center"/>
          </w:tcPr>
          <w:p w14:paraId="524C01C4">
            <w:pPr>
              <w:spacing w:line="240" w:lineRule="auto"/>
              <w:ind w:firstLine="0" w:firstLineChars="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备注：</w:t>
            </w:r>
            <w:r>
              <w:rPr>
                <w:rFonts w:hint="eastAsia" w:cs="仿宋_GB2312"/>
                <w:b w:val="0"/>
                <w:bCs/>
                <w:color w:val="auto"/>
                <w:sz w:val="21"/>
                <w:szCs w:val="21"/>
                <w:highlight w:val="none"/>
                <w:lang w:val="en-US" w:eastAsia="zh-CN"/>
              </w:rPr>
              <w:t>红谷滩区段赣江河道，</w:t>
            </w:r>
            <w:r>
              <w:rPr>
                <w:rFonts w:hint="eastAsia" w:ascii="仿宋_GB2312" w:hAnsi="仿宋_GB2312" w:eastAsia="仿宋_GB2312" w:cs="仿宋_GB2312"/>
                <w:color w:val="auto"/>
                <w:sz w:val="21"/>
                <w:szCs w:val="21"/>
                <w:highlight w:val="none"/>
              </w:rPr>
              <w:t>双港、城北水厂饮用水源地保护区</w:t>
            </w:r>
            <w:r>
              <w:rPr>
                <w:rFonts w:hint="eastAsia" w:cs="仿宋_GB2312"/>
                <w:color w:val="auto"/>
                <w:sz w:val="21"/>
                <w:szCs w:val="21"/>
                <w:highlight w:val="none"/>
                <w:lang w:val="en-US" w:eastAsia="zh-CN"/>
              </w:rPr>
              <w:t>区域，城镇居民和文化教育科学研究区禁养区三者之间</w:t>
            </w:r>
            <w:r>
              <w:rPr>
                <w:rFonts w:hint="eastAsia" w:ascii="仿宋_GB2312" w:hAnsi="仿宋_GB2312" w:eastAsia="仿宋_GB2312" w:cs="仿宋_GB2312"/>
                <w:color w:val="auto"/>
                <w:sz w:val="21"/>
                <w:szCs w:val="21"/>
                <w:highlight w:val="none"/>
                <w:lang w:val="en-US" w:eastAsia="zh-CN"/>
              </w:rPr>
              <w:t>存在部分重叠；</w:t>
            </w:r>
            <w:r>
              <w:rPr>
                <w:rFonts w:hint="eastAsia" w:cs="仿宋_GB2312"/>
                <w:b w:val="0"/>
                <w:bCs/>
                <w:color w:val="auto"/>
                <w:sz w:val="21"/>
                <w:szCs w:val="21"/>
                <w:highlight w:val="none"/>
                <w:lang w:val="en-US" w:eastAsia="zh-CN"/>
              </w:rPr>
              <w:t>红谷滩区段赣江河道，</w:t>
            </w:r>
            <w:r>
              <w:rPr>
                <w:rFonts w:hint="eastAsia" w:ascii="仿宋_GB2312" w:hAnsi="仿宋_GB2312" w:eastAsia="仿宋_GB2312" w:cs="仿宋_GB2312"/>
                <w:color w:val="auto"/>
                <w:sz w:val="21"/>
                <w:szCs w:val="21"/>
                <w:highlight w:val="none"/>
              </w:rPr>
              <w:t>红角洲、生米</w:t>
            </w:r>
            <w:r>
              <w:rPr>
                <w:rFonts w:hint="eastAsia" w:cs="仿宋_GB2312"/>
                <w:color w:val="auto"/>
                <w:sz w:val="21"/>
                <w:szCs w:val="21"/>
                <w:highlight w:val="none"/>
                <w:lang w:eastAsia="zh-CN"/>
              </w:rPr>
              <w:t>、</w:t>
            </w:r>
            <w:r>
              <w:rPr>
                <w:rFonts w:hint="eastAsia" w:cs="仿宋_GB2312"/>
                <w:color w:val="auto"/>
                <w:sz w:val="21"/>
                <w:szCs w:val="21"/>
                <w:highlight w:val="none"/>
                <w:lang w:val="en-US" w:eastAsia="zh-CN"/>
              </w:rPr>
              <w:t>昌南水厂</w:t>
            </w:r>
            <w:r>
              <w:rPr>
                <w:rFonts w:hint="eastAsia" w:ascii="仿宋_GB2312" w:hAnsi="仿宋_GB2312" w:eastAsia="仿宋_GB2312" w:cs="仿宋_GB2312"/>
                <w:color w:val="auto"/>
                <w:sz w:val="21"/>
                <w:szCs w:val="21"/>
                <w:highlight w:val="none"/>
              </w:rPr>
              <w:t>饮用水源地保护区区域</w:t>
            </w:r>
            <w:r>
              <w:rPr>
                <w:rFonts w:hint="eastAsia" w:cs="仿宋_GB2312"/>
                <w:color w:val="auto"/>
                <w:sz w:val="21"/>
                <w:szCs w:val="21"/>
                <w:highlight w:val="none"/>
                <w:lang w:eastAsia="zh-CN"/>
              </w:rPr>
              <w:t>，</w:t>
            </w:r>
            <w:r>
              <w:rPr>
                <w:rFonts w:hint="eastAsia" w:cs="仿宋_GB2312"/>
                <w:color w:val="auto"/>
                <w:sz w:val="21"/>
                <w:szCs w:val="21"/>
                <w:highlight w:val="none"/>
                <w:lang w:val="en-US" w:eastAsia="zh-CN"/>
              </w:rPr>
              <w:t>城镇居民和文化教育科学研究区禁养区三者之间</w:t>
            </w:r>
            <w:r>
              <w:rPr>
                <w:rFonts w:hint="eastAsia" w:ascii="仿宋_GB2312" w:hAnsi="仿宋_GB2312" w:eastAsia="仿宋_GB2312" w:cs="仿宋_GB2312"/>
                <w:color w:val="auto"/>
                <w:sz w:val="21"/>
                <w:szCs w:val="21"/>
                <w:highlight w:val="none"/>
                <w:lang w:val="en-US" w:eastAsia="zh-CN"/>
              </w:rPr>
              <w:t>存在部分重叠</w:t>
            </w:r>
            <w:r>
              <w:rPr>
                <w:rFonts w:hint="eastAsia" w:ascii="仿宋_GB2312" w:hAnsi="仿宋_GB2312" w:eastAsia="仿宋_GB2312" w:cs="仿宋_GB2312"/>
                <w:color w:val="auto"/>
                <w:sz w:val="21"/>
                <w:szCs w:val="21"/>
                <w:highlight w:val="none"/>
                <w:lang w:eastAsia="zh-CN"/>
              </w:rPr>
              <w:t>；</w:t>
            </w:r>
            <w:r>
              <w:rPr>
                <w:rFonts w:hint="eastAsia" w:ascii="仿宋_GB2312" w:hAnsi="仿宋_GB2312" w:eastAsia="仿宋_GB2312" w:cs="仿宋_GB2312"/>
                <w:color w:val="auto"/>
                <w:sz w:val="21"/>
                <w:szCs w:val="21"/>
                <w:highlight w:val="none"/>
                <w:lang w:val="en-US" w:eastAsia="zh-CN"/>
              </w:rPr>
              <w:t>重叠</w:t>
            </w:r>
            <w:r>
              <w:rPr>
                <w:rFonts w:hint="eastAsia" w:cs="仿宋_GB2312"/>
                <w:color w:val="auto"/>
                <w:sz w:val="21"/>
                <w:szCs w:val="21"/>
                <w:highlight w:val="none"/>
                <w:lang w:val="en-US" w:eastAsia="zh-CN"/>
              </w:rPr>
              <w:t>区域</w:t>
            </w:r>
            <w:r>
              <w:rPr>
                <w:rFonts w:hint="eastAsia" w:ascii="仿宋_GB2312" w:hAnsi="仿宋_GB2312" w:eastAsia="仿宋_GB2312" w:cs="仿宋_GB2312"/>
                <w:color w:val="auto"/>
                <w:sz w:val="21"/>
                <w:szCs w:val="21"/>
                <w:highlight w:val="none"/>
              </w:rPr>
              <w:t>面积需删除。</w:t>
            </w:r>
          </w:p>
        </w:tc>
      </w:tr>
    </w:tbl>
    <w:p w14:paraId="479F96D7">
      <w:pPr>
        <w:pStyle w:val="2"/>
        <w:keepNext/>
        <w:keepLines/>
        <w:pageBreakBefore w:val="0"/>
        <w:widowControl/>
        <w:numPr>
          <w:ilvl w:val="0"/>
          <w:numId w:val="1"/>
        </w:numPr>
        <w:kinsoku/>
        <w:wordWrap w:val="0"/>
        <w:overflowPunct/>
        <w:topLinePunct w:val="0"/>
        <w:autoSpaceDE/>
        <w:autoSpaceDN/>
        <w:bidi w:val="0"/>
        <w:adjustRightInd/>
        <w:snapToGrid/>
        <w:spacing w:after="313" w:afterLines="100"/>
        <w:ind w:left="0" w:leftChars="0" w:firstLine="643" w:firstLineChars="200"/>
        <w:jc w:val="both"/>
        <w:textAlignment w:val="auto"/>
        <w:rPr>
          <w:rFonts w:hint="eastAsia" w:ascii="仿宋" w:hAnsi="仿宋" w:eastAsia="仿宋" w:cs="仿宋"/>
          <w:b/>
          <w:bCs/>
          <w:i w:val="0"/>
          <w:iCs w:val="0"/>
          <w:caps w:val="0"/>
          <w:color w:val="525353"/>
          <w:spacing w:val="0"/>
          <w:kern w:val="0"/>
          <w:sz w:val="32"/>
          <w:szCs w:val="32"/>
          <w:shd w:val="clear" w:fill="FFFFFF"/>
          <w:lang w:val="en-US" w:eastAsia="zh-CN" w:bidi="ar"/>
        </w:rPr>
      </w:pPr>
      <w:r>
        <w:rPr>
          <w:rFonts w:hint="eastAsia" w:ascii="仿宋" w:hAnsi="仿宋" w:eastAsia="仿宋" w:cs="仿宋"/>
          <w:b/>
          <w:bCs/>
          <w:i w:val="0"/>
          <w:iCs w:val="0"/>
          <w:caps w:val="0"/>
          <w:color w:val="525353"/>
          <w:spacing w:val="0"/>
          <w:kern w:val="0"/>
          <w:sz w:val="32"/>
          <w:szCs w:val="32"/>
          <w:shd w:val="clear" w:fill="FFFFFF"/>
          <w:lang w:val="en-US" w:eastAsia="zh-CN" w:bidi="ar"/>
        </w:rPr>
        <w:t>畜禽养殖管理要求</w:t>
      </w:r>
    </w:p>
    <w:p w14:paraId="026F3B6D">
      <w:pPr>
        <w:pStyle w:val="3"/>
        <w:bidi w:val="0"/>
        <w:rPr>
          <w:rFonts w:hint="eastAsia"/>
          <w:color w:val="auto"/>
          <w:highlight w:val="none"/>
          <w:lang w:eastAsia="zh-CN"/>
        </w:rPr>
      </w:pPr>
      <w:bookmarkStart w:id="4" w:name="_Toc24911"/>
      <w:r>
        <w:rPr>
          <w:rFonts w:hint="eastAsia"/>
          <w:color w:val="auto"/>
          <w:highlight w:val="none"/>
          <w:lang w:val="en-US" w:eastAsia="zh-CN"/>
        </w:rPr>
        <w:t>6.1 畜禽养殖</w:t>
      </w:r>
      <w:r>
        <w:rPr>
          <w:rFonts w:hint="eastAsia"/>
          <w:color w:val="auto"/>
          <w:highlight w:val="none"/>
          <w:lang w:eastAsia="zh-CN"/>
        </w:rPr>
        <w:t>分类管理</w:t>
      </w:r>
      <w:bookmarkEnd w:id="4"/>
    </w:p>
    <w:p w14:paraId="0429891F">
      <w:pPr>
        <w:ind w:firstLine="560"/>
        <w:rPr>
          <w:rFonts w:hint="eastAsia"/>
          <w:color w:val="auto"/>
          <w:sz w:val="28"/>
          <w:szCs w:val="28"/>
          <w:highlight w:val="none"/>
          <w:lang w:eastAsia="zh-CN"/>
        </w:rPr>
      </w:pPr>
      <w:r>
        <w:rPr>
          <w:rFonts w:hint="eastAsia"/>
          <w:color w:val="auto"/>
          <w:sz w:val="28"/>
          <w:szCs w:val="28"/>
          <w:highlight w:val="none"/>
          <w:lang w:eastAsia="zh-CN"/>
        </w:rPr>
        <w:t>畜禽养殖按照养殖场和分散养殖户实行分类管理。</w:t>
      </w:r>
    </w:p>
    <w:p w14:paraId="2ADD469D">
      <w:pPr>
        <w:ind w:firstLine="560"/>
        <w:rPr>
          <w:rFonts w:hint="eastAsia"/>
          <w:color w:val="auto"/>
          <w:sz w:val="28"/>
          <w:szCs w:val="28"/>
          <w:highlight w:val="none"/>
          <w:lang w:eastAsia="zh-CN"/>
        </w:rPr>
      </w:pPr>
      <w:r>
        <w:rPr>
          <w:rFonts w:hint="eastAsia"/>
          <w:color w:val="auto"/>
          <w:sz w:val="28"/>
          <w:szCs w:val="28"/>
          <w:highlight w:val="none"/>
          <w:lang w:eastAsia="zh-CN"/>
        </w:rPr>
        <w:t>鼓励发展规模化、标准化和智能化养殖，促进种养结合和农牧循环、绿色发展；畜禽养殖场应当具备与饲养规模相适应的生产场所和配套设施，配备必要的畜牧兽医技术人员，满足动物防疫条件，并建设与粪污无害化处理和资源化利用相适应的设施设备，</w:t>
      </w:r>
      <w:r>
        <w:rPr>
          <w:rFonts w:hint="eastAsia"/>
          <w:color w:val="auto"/>
          <w:sz w:val="28"/>
          <w:szCs w:val="28"/>
          <w:highlight w:val="none"/>
          <w:lang w:val="en-US" w:eastAsia="zh-CN"/>
        </w:rPr>
        <w:t>同时</w:t>
      </w:r>
      <w:r>
        <w:rPr>
          <w:rFonts w:hint="eastAsia"/>
          <w:color w:val="auto"/>
          <w:sz w:val="28"/>
          <w:szCs w:val="28"/>
          <w:highlight w:val="none"/>
          <w:lang w:eastAsia="zh-CN"/>
        </w:rPr>
        <w:t>向区农业农村</w:t>
      </w:r>
      <w:r>
        <w:rPr>
          <w:rFonts w:hint="eastAsia"/>
          <w:color w:val="auto"/>
          <w:sz w:val="28"/>
          <w:szCs w:val="28"/>
          <w:highlight w:val="none"/>
          <w:lang w:val="en-US" w:eastAsia="zh-CN"/>
        </w:rPr>
        <w:t>局</w:t>
      </w:r>
      <w:r>
        <w:rPr>
          <w:rFonts w:hint="eastAsia"/>
          <w:color w:val="auto"/>
          <w:sz w:val="28"/>
          <w:szCs w:val="28"/>
          <w:highlight w:val="none"/>
          <w:lang w:eastAsia="zh-CN"/>
        </w:rPr>
        <w:t>备案，取得畜禽标识代码。</w:t>
      </w:r>
    </w:p>
    <w:p w14:paraId="5641F28F">
      <w:pPr>
        <w:ind w:firstLine="560"/>
        <w:rPr>
          <w:rFonts w:hint="eastAsia"/>
          <w:color w:val="auto"/>
          <w:sz w:val="28"/>
          <w:szCs w:val="28"/>
          <w:highlight w:val="none"/>
          <w:lang w:eastAsia="zh-CN"/>
        </w:rPr>
      </w:pPr>
      <w:r>
        <w:rPr>
          <w:rFonts w:hint="eastAsia"/>
          <w:color w:val="auto"/>
          <w:sz w:val="28"/>
          <w:szCs w:val="28"/>
          <w:highlight w:val="none"/>
          <w:lang w:eastAsia="zh-CN"/>
        </w:rPr>
        <w:t>分散养殖户应当对畜禽进行圈养，实行自主管理，并接受</w:t>
      </w:r>
      <w:r>
        <w:rPr>
          <w:rFonts w:hint="eastAsia"/>
          <w:color w:val="auto"/>
          <w:sz w:val="28"/>
          <w:szCs w:val="28"/>
          <w:highlight w:val="none"/>
          <w:lang w:val="en-US" w:eastAsia="zh-CN"/>
        </w:rPr>
        <w:t>镇街道</w:t>
      </w:r>
      <w:r>
        <w:rPr>
          <w:rFonts w:hint="eastAsia"/>
          <w:color w:val="auto"/>
          <w:sz w:val="28"/>
          <w:szCs w:val="28"/>
          <w:highlight w:val="none"/>
          <w:lang w:eastAsia="zh-CN"/>
        </w:rPr>
        <w:t>相关部门的指导。</w:t>
      </w:r>
    </w:p>
    <w:p w14:paraId="6CDC4814">
      <w:pPr>
        <w:pStyle w:val="3"/>
        <w:bidi w:val="0"/>
        <w:rPr>
          <w:rFonts w:hint="eastAsia"/>
          <w:color w:val="auto"/>
          <w:highlight w:val="none"/>
          <w:lang w:eastAsia="zh-CN"/>
        </w:rPr>
      </w:pPr>
      <w:bookmarkStart w:id="5" w:name="_Toc5566"/>
      <w:r>
        <w:rPr>
          <w:rFonts w:hint="eastAsia"/>
          <w:color w:val="auto"/>
          <w:highlight w:val="none"/>
          <w:lang w:val="en-US" w:eastAsia="zh-CN"/>
        </w:rPr>
        <w:t xml:space="preserve">6.2 </w:t>
      </w:r>
      <w:r>
        <w:rPr>
          <w:rFonts w:hint="eastAsia"/>
          <w:color w:val="auto"/>
          <w:highlight w:val="none"/>
          <w:lang w:eastAsia="zh-CN"/>
        </w:rPr>
        <w:t>禁养区管控要求</w:t>
      </w:r>
      <w:bookmarkEnd w:id="5"/>
    </w:p>
    <w:p w14:paraId="4764612F">
      <w:pPr>
        <w:ind w:firstLine="560"/>
        <w:rPr>
          <w:rFonts w:hint="eastAsia"/>
          <w:b/>
          <w:bCs/>
          <w:color w:val="auto"/>
          <w:sz w:val="28"/>
          <w:szCs w:val="28"/>
          <w:highlight w:val="none"/>
          <w:lang w:eastAsia="zh-CN"/>
        </w:rPr>
      </w:pPr>
      <w:r>
        <w:rPr>
          <w:rFonts w:hint="eastAsia"/>
          <w:color w:val="auto"/>
          <w:sz w:val="28"/>
          <w:szCs w:val="28"/>
          <w:highlight w:val="none"/>
          <w:lang w:eastAsia="zh-CN"/>
        </w:rPr>
        <w:t>在禁养区内严禁新建、扩建、改建各类畜禽养殖场、养殖小区；</w:t>
      </w:r>
    </w:p>
    <w:p w14:paraId="044342A4">
      <w:pPr>
        <w:pStyle w:val="3"/>
        <w:bidi w:val="0"/>
        <w:rPr>
          <w:rFonts w:hint="eastAsia"/>
          <w:color w:val="auto"/>
          <w:highlight w:val="none"/>
          <w:lang w:eastAsia="zh-CN"/>
        </w:rPr>
      </w:pPr>
      <w:bookmarkStart w:id="6" w:name="_Toc25365"/>
      <w:r>
        <w:rPr>
          <w:rFonts w:hint="eastAsia"/>
          <w:color w:val="auto"/>
          <w:highlight w:val="none"/>
          <w:lang w:val="en-US" w:eastAsia="zh-CN"/>
        </w:rPr>
        <w:t xml:space="preserve">6.3 </w:t>
      </w:r>
      <w:r>
        <w:rPr>
          <w:rFonts w:hint="eastAsia"/>
          <w:color w:val="auto"/>
          <w:highlight w:val="none"/>
          <w:lang w:eastAsia="zh-CN"/>
        </w:rPr>
        <w:t>非禁养区管理要求</w:t>
      </w:r>
      <w:bookmarkEnd w:id="6"/>
    </w:p>
    <w:p w14:paraId="05E27C94">
      <w:pPr>
        <w:ind w:firstLine="560"/>
        <w:rPr>
          <w:rFonts w:hint="eastAsia"/>
          <w:color w:val="auto"/>
          <w:sz w:val="28"/>
          <w:szCs w:val="28"/>
          <w:highlight w:val="none"/>
          <w:lang w:eastAsia="zh-CN"/>
        </w:rPr>
      </w:pPr>
      <w:r>
        <w:rPr>
          <w:rFonts w:hint="eastAsia"/>
          <w:color w:val="auto"/>
          <w:sz w:val="28"/>
          <w:szCs w:val="28"/>
          <w:highlight w:val="none"/>
          <w:lang w:eastAsia="zh-CN"/>
        </w:rPr>
        <w:t>禁养区以外区域为非禁养区。在非禁养区新建、改建、扩建规模化畜禽养殖场、养殖小区，应当符合畜牧业发展规划、畜禽养殖污染防治规划等法律和政策要求。严禁占用永久基本农田建设畜禽养殖设施，破坏耕作层。</w:t>
      </w:r>
    </w:p>
    <w:p w14:paraId="44FCDDAF">
      <w:pPr>
        <w:pStyle w:val="3"/>
        <w:bidi w:val="0"/>
        <w:rPr>
          <w:rFonts w:hint="eastAsia"/>
          <w:color w:val="auto"/>
          <w:highlight w:val="none"/>
          <w:lang w:eastAsia="zh-CN"/>
        </w:rPr>
      </w:pPr>
      <w:bookmarkStart w:id="7" w:name="_Toc7191"/>
      <w:r>
        <w:rPr>
          <w:rFonts w:hint="eastAsia"/>
          <w:color w:val="auto"/>
          <w:highlight w:val="none"/>
          <w:lang w:val="en-US" w:eastAsia="zh-CN"/>
        </w:rPr>
        <w:t>6.4 其他</w:t>
      </w:r>
      <w:r>
        <w:rPr>
          <w:rFonts w:hint="eastAsia"/>
          <w:color w:val="auto"/>
          <w:highlight w:val="none"/>
          <w:lang w:eastAsia="zh-CN"/>
        </w:rPr>
        <w:t>管理要求</w:t>
      </w:r>
      <w:bookmarkEnd w:id="7"/>
    </w:p>
    <w:p w14:paraId="72CC5150">
      <w:pPr>
        <w:ind w:firstLine="560"/>
        <w:rPr>
          <w:rFonts w:hint="eastAsia"/>
          <w:color w:val="auto"/>
          <w:sz w:val="28"/>
          <w:szCs w:val="28"/>
          <w:highlight w:val="none"/>
          <w:lang w:eastAsia="zh-CN"/>
        </w:rPr>
      </w:pPr>
      <w:bookmarkStart w:id="8" w:name="_Toc8754"/>
      <w:r>
        <w:rPr>
          <w:rFonts w:hint="eastAsia"/>
          <w:color w:val="auto"/>
          <w:sz w:val="28"/>
          <w:szCs w:val="28"/>
          <w:highlight w:val="none"/>
          <w:lang w:eastAsia="zh-CN"/>
        </w:rPr>
        <w:t>（一）畜禽养殖不得占用河道和水库管理范围，不得影响居住环境和生态环境，同时满足卫生防护距离要求和动物防疫条件，并按要求开展环境影响评价，采取畜禽养殖废弃物综合利用措施，实行污染物集中治理和废弃物综合利用。</w:t>
      </w:r>
      <w:bookmarkStart w:id="17" w:name="_GoBack"/>
      <w:bookmarkEnd w:id="17"/>
    </w:p>
    <w:p w14:paraId="62F3ADD7">
      <w:pPr>
        <w:ind w:firstLine="560"/>
        <w:rPr>
          <w:rFonts w:hint="eastAsia"/>
          <w:color w:val="auto"/>
          <w:sz w:val="28"/>
          <w:szCs w:val="28"/>
          <w:highlight w:val="none"/>
          <w:lang w:val="en-US" w:eastAsia="zh-CN"/>
        </w:rPr>
      </w:pPr>
      <w:r>
        <w:rPr>
          <w:rFonts w:hint="eastAsia"/>
          <w:color w:val="auto"/>
          <w:sz w:val="28"/>
          <w:szCs w:val="28"/>
          <w:highlight w:val="none"/>
          <w:lang w:eastAsia="zh-CN"/>
        </w:rPr>
        <w:t>（</w:t>
      </w:r>
      <w:r>
        <w:rPr>
          <w:rFonts w:hint="eastAsia"/>
          <w:color w:val="auto"/>
          <w:sz w:val="28"/>
          <w:szCs w:val="28"/>
          <w:highlight w:val="none"/>
          <w:lang w:val="en-US" w:eastAsia="zh-CN"/>
        </w:rPr>
        <w:t>二)</w:t>
      </w:r>
      <w:r>
        <w:rPr>
          <w:rFonts w:hint="eastAsia"/>
          <w:color w:val="auto"/>
          <w:sz w:val="28"/>
          <w:szCs w:val="28"/>
          <w:highlight w:val="none"/>
          <w:lang w:eastAsia="zh-CN"/>
        </w:rPr>
        <w:t>市区内禁止饲养鸡、鸭、鹅、兔、羊、猪等家畜家禽；因教学、科研以及其他特殊原因需要饲养的，必须经市人民政府市容环境卫生主管部门批准，并做到圈养，保持环境卫生。</w:t>
      </w:r>
    </w:p>
    <w:p w14:paraId="7E54DB11">
      <w:pPr>
        <w:pStyle w:val="2"/>
        <w:spacing w:before="0" w:beforeLines="0" w:after="0" w:afterLines="0"/>
        <w:rPr>
          <w:color w:val="auto"/>
          <w:highlight w:val="none"/>
        </w:rPr>
      </w:pPr>
      <w:r>
        <w:rPr>
          <w:rFonts w:hint="eastAsia"/>
          <w:color w:val="auto"/>
          <w:highlight w:val="none"/>
        </w:rPr>
        <w:t>附图</w:t>
      </w:r>
      <w:bookmarkEnd w:id="8"/>
    </w:p>
    <w:p w14:paraId="0DEC850F">
      <w:pPr>
        <w:pStyle w:val="3"/>
        <w:spacing w:before="240" w:after="240"/>
        <w:ind w:firstLine="0" w:firstLineChars="0"/>
        <w:rPr>
          <w:color w:val="auto"/>
          <w:highlight w:val="none"/>
        </w:rPr>
      </w:pPr>
      <w:bookmarkStart w:id="9" w:name="_Toc9586"/>
      <w:r>
        <w:rPr>
          <w:rFonts w:hint="eastAsia"/>
          <w:color w:val="auto"/>
          <w:highlight w:val="none"/>
        </w:rPr>
        <w:t>附图一：红谷滩区畜禽养殖禁养区划定图</w:t>
      </w:r>
      <w:r>
        <w:rPr>
          <w:rFonts w:hint="eastAsia"/>
          <w:color w:val="auto"/>
          <w:highlight w:val="none"/>
          <w:lang w:eastAsia="zh-CN"/>
        </w:rPr>
        <w:t>－</w:t>
      </w:r>
      <w:r>
        <w:rPr>
          <w:rFonts w:hint="eastAsia"/>
          <w:color w:val="auto"/>
          <w:highlight w:val="none"/>
        </w:rPr>
        <w:t>城镇居民</w:t>
      </w:r>
      <w:r>
        <w:rPr>
          <w:rFonts w:hint="eastAsia"/>
          <w:color w:val="auto"/>
          <w:highlight w:val="none"/>
          <w:lang w:val="en-US" w:eastAsia="zh-CN"/>
        </w:rPr>
        <w:t>区</w:t>
      </w:r>
      <w:r>
        <w:rPr>
          <w:rFonts w:hint="eastAsia"/>
          <w:color w:val="auto"/>
          <w:highlight w:val="none"/>
        </w:rPr>
        <w:t>和文化教育科学研究区</w:t>
      </w:r>
      <w:bookmarkEnd w:id="9"/>
    </w:p>
    <w:p w14:paraId="7664A3F9">
      <w:pPr>
        <w:spacing w:line="240" w:lineRule="auto"/>
        <w:ind w:firstLine="0" w:firstLineChars="0"/>
        <w:jc w:val="center"/>
        <w:rPr>
          <w:rFonts w:hint="eastAsia" w:eastAsia="仿宋_GB2312"/>
          <w:color w:val="auto"/>
          <w:highlight w:val="none"/>
          <w:lang w:eastAsia="zh-CN"/>
        </w:rPr>
      </w:pPr>
      <w:r>
        <w:rPr>
          <w:rFonts w:hint="eastAsia" w:eastAsia="仿宋_GB2312"/>
          <w:color w:val="auto"/>
          <w:highlight w:val="none"/>
          <w:lang w:eastAsia="zh-CN"/>
        </w:rPr>
        <w:drawing>
          <wp:inline distT="0" distB="0" distL="114300" distR="114300">
            <wp:extent cx="4966970" cy="7019925"/>
            <wp:effectExtent l="0" t="0" r="5080" b="9525"/>
            <wp:docPr id="4" name="图片 4" descr="城镇居民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城镇居民区"/>
                    <pic:cNvPicPr>
                      <a:picLocks noChangeAspect="1"/>
                    </pic:cNvPicPr>
                  </pic:nvPicPr>
                  <pic:blipFill>
                    <a:blip r:embed="rId6"/>
                    <a:stretch>
                      <a:fillRect/>
                    </a:stretch>
                  </pic:blipFill>
                  <pic:spPr>
                    <a:xfrm>
                      <a:off x="0" y="0"/>
                      <a:ext cx="4966970" cy="7019925"/>
                    </a:xfrm>
                    <a:prstGeom prst="rect">
                      <a:avLst/>
                    </a:prstGeom>
                  </pic:spPr>
                </pic:pic>
              </a:graphicData>
            </a:graphic>
          </wp:inline>
        </w:drawing>
      </w:r>
    </w:p>
    <w:p w14:paraId="1379BF8D">
      <w:pPr>
        <w:pStyle w:val="3"/>
        <w:spacing w:before="240" w:after="240"/>
        <w:ind w:firstLine="0" w:firstLineChars="0"/>
        <w:rPr>
          <w:rFonts w:hint="default" w:eastAsia="仿宋_GB2312"/>
          <w:color w:val="auto"/>
          <w:highlight w:val="none"/>
          <w:lang w:val="en-US" w:eastAsia="zh-CN"/>
        </w:rPr>
      </w:pPr>
      <w:bookmarkStart w:id="10" w:name="_Toc8794"/>
      <w:r>
        <w:rPr>
          <w:rFonts w:hint="eastAsia"/>
          <w:color w:val="auto"/>
          <w:highlight w:val="none"/>
        </w:rPr>
        <w:t>附图二：红谷滩区畜禽养殖禁养区</w:t>
      </w:r>
      <w:r>
        <w:rPr>
          <w:rFonts w:hint="eastAsia"/>
          <w:color w:val="auto"/>
          <w:highlight w:val="none"/>
          <w:lang w:val="en-US" w:eastAsia="zh-CN"/>
        </w:rPr>
        <w:t>划定</w:t>
      </w:r>
      <w:r>
        <w:rPr>
          <w:rFonts w:hint="eastAsia"/>
          <w:color w:val="auto"/>
          <w:highlight w:val="none"/>
        </w:rPr>
        <w:t>图</w:t>
      </w:r>
      <w:r>
        <w:rPr>
          <w:rFonts w:hint="eastAsia"/>
          <w:color w:val="auto"/>
          <w:highlight w:val="none"/>
          <w:lang w:eastAsia="zh-CN"/>
        </w:rPr>
        <w:t>－</w:t>
      </w:r>
      <w:r>
        <w:rPr>
          <w:rFonts w:hint="eastAsia"/>
          <w:color w:val="auto"/>
          <w:highlight w:val="none"/>
        </w:rPr>
        <w:t>饮用水源</w:t>
      </w:r>
      <w:r>
        <w:rPr>
          <w:rFonts w:hint="eastAsia"/>
          <w:color w:val="auto"/>
          <w:highlight w:val="none"/>
          <w:lang w:val="en-US" w:eastAsia="zh-CN"/>
        </w:rPr>
        <w:t>地</w:t>
      </w:r>
      <w:r>
        <w:rPr>
          <w:rFonts w:hint="eastAsia"/>
          <w:color w:val="auto"/>
          <w:highlight w:val="none"/>
        </w:rPr>
        <w:t>保护区</w:t>
      </w:r>
      <w:bookmarkEnd w:id="10"/>
    </w:p>
    <w:p w14:paraId="1888C294">
      <w:pPr>
        <w:spacing w:line="240" w:lineRule="auto"/>
        <w:ind w:firstLine="0" w:firstLineChars="0"/>
        <w:jc w:val="center"/>
        <w:rPr>
          <w:rFonts w:hint="eastAsia" w:eastAsia="仿宋_GB2312"/>
          <w:color w:val="auto"/>
          <w:highlight w:val="none"/>
          <w:lang w:eastAsia="zh-CN"/>
        </w:rPr>
      </w:pPr>
      <w:r>
        <w:rPr>
          <w:rFonts w:hint="eastAsia" w:eastAsia="仿宋_GB2312"/>
          <w:color w:val="auto"/>
          <w:highlight w:val="none"/>
          <w:lang w:eastAsia="zh-CN"/>
        </w:rPr>
        <w:drawing>
          <wp:inline distT="0" distB="0" distL="114300" distR="114300">
            <wp:extent cx="5222240" cy="7379970"/>
            <wp:effectExtent l="0" t="0" r="16510" b="11430"/>
            <wp:docPr id="37" name="图片 37" descr="a870b7df0d47173a5a2f4af2a861aa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a870b7df0d47173a5a2f4af2a861aa5d"/>
                    <pic:cNvPicPr>
                      <a:picLocks noChangeAspect="1"/>
                    </pic:cNvPicPr>
                  </pic:nvPicPr>
                  <pic:blipFill>
                    <a:blip r:embed="rId7"/>
                    <a:stretch>
                      <a:fillRect/>
                    </a:stretch>
                  </pic:blipFill>
                  <pic:spPr>
                    <a:xfrm>
                      <a:off x="0" y="0"/>
                      <a:ext cx="5222240" cy="7379970"/>
                    </a:xfrm>
                    <a:prstGeom prst="rect">
                      <a:avLst/>
                    </a:prstGeom>
                  </pic:spPr>
                </pic:pic>
              </a:graphicData>
            </a:graphic>
          </wp:inline>
        </w:drawing>
      </w:r>
    </w:p>
    <w:p w14:paraId="5E9783E1">
      <w:pPr>
        <w:pStyle w:val="3"/>
        <w:spacing w:before="240" w:after="240"/>
        <w:ind w:firstLine="0" w:firstLineChars="0"/>
        <w:rPr>
          <w:rFonts w:hint="eastAsia"/>
          <w:color w:val="auto"/>
          <w:highlight w:val="none"/>
        </w:rPr>
      </w:pPr>
      <w:bookmarkStart w:id="11" w:name="_Toc8921"/>
      <w:r>
        <w:rPr>
          <w:rFonts w:hint="eastAsia"/>
          <w:color w:val="auto"/>
          <w:highlight w:val="none"/>
        </w:rPr>
        <w:t>附图三：红谷滩区畜禽养殖禁养区</w:t>
      </w:r>
      <w:r>
        <w:rPr>
          <w:rFonts w:hint="eastAsia"/>
          <w:color w:val="auto"/>
          <w:highlight w:val="none"/>
          <w:lang w:val="en-US" w:eastAsia="zh-CN"/>
        </w:rPr>
        <w:t>划定图</w:t>
      </w:r>
      <w:r>
        <w:rPr>
          <w:rFonts w:hint="eastAsia"/>
          <w:color w:val="auto"/>
          <w:highlight w:val="none"/>
        </w:rPr>
        <w:t>-</w:t>
      </w:r>
      <w:r>
        <w:rPr>
          <w:rFonts w:hint="eastAsia"/>
          <w:color w:val="auto"/>
          <w:highlight w:val="none"/>
          <w:lang w:val="en-US" w:eastAsia="zh-CN"/>
        </w:rPr>
        <w:t>双港和城北水厂</w:t>
      </w:r>
      <w:r>
        <w:rPr>
          <w:rFonts w:hint="eastAsia"/>
          <w:color w:val="auto"/>
          <w:highlight w:val="none"/>
        </w:rPr>
        <w:t>饮用水源</w:t>
      </w:r>
      <w:r>
        <w:rPr>
          <w:rFonts w:hint="eastAsia"/>
          <w:color w:val="auto"/>
          <w:highlight w:val="none"/>
          <w:lang w:val="en-US" w:eastAsia="zh-CN"/>
        </w:rPr>
        <w:t>地</w:t>
      </w:r>
      <w:r>
        <w:rPr>
          <w:rFonts w:hint="eastAsia"/>
          <w:color w:val="auto"/>
          <w:highlight w:val="none"/>
        </w:rPr>
        <w:t>保护区</w:t>
      </w:r>
      <w:bookmarkEnd w:id="11"/>
    </w:p>
    <w:p w14:paraId="002D3EAE">
      <w:pPr>
        <w:spacing w:before="120" w:after="120" w:line="288" w:lineRule="auto"/>
        <w:ind w:firstLine="0" w:firstLineChars="0"/>
        <w:jc w:val="center"/>
        <w:rPr>
          <w:rFonts w:hint="eastAsia" w:eastAsia="仿宋_GB2312"/>
          <w:color w:val="auto"/>
          <w:highlight w:val="none"/>
          <w:lang w:eastAsia="zh-CN"/>
        </w:rPr>
      </w:pPr>
      <w:r>
        <w:rPr>
          <w:rFonts w:hint="eastAsia" w:eastAsia="仿宋_GB2312"/>
          <w:color w:val="auto"/>
          <w:highlight w:val="none"/>
          <w:lang w:eastAsia="zh-CN"/>
        </w:rPr>
        <w:drawing>
          <wp:inline distT="0" distB="0" distL="114300" distR="114300">
            <wp:extent cx="5222240" cy="7379970"/>
            <wp:effectExtent l="0" t="0" r="16510" b="11430"/>
            <wp:docPr id="41" name="图片 41" descr="57c35d42ebd504456d010cacdb969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57c35d42ebd504456d010cacdb969785"/>
                    <pic:cNvPicPr>
                      <a:picLocks noChangeAspect="1"/>
                    </pic:cNvPicPr>
                  </pic:nvPicPr>
                  <pic:blipFill>
                    <a:blip r:embed="rId8"/>
                    <a:stretch>
                      <a:fillRect/>
                    </a:stretch>
                  </pic:blipFill>
                  <pic:spPr>
                    <a:xfrm>
                      <a:off x="0" y="0"/>
                      <a:ext cx="5222240" cy="7379970"/>
                    </a:xfrm>
                    <a:prstGeom prst="rect">
                      <a:avLst/>
                    </a:prstGeom>
                  </pic:spPr>
                </pic:pic>
              </a:graphicData>
            </a:graphic>
          </wp:inline>
        </w:drawing>
      </w:r>
    </w:p>
    <w:p w14:paraId="2B225D53">
      <w:pPr>
        <w:pStyle w:val="3"/>
        <w:spacing w:before="240" w:after="240"/>
        <w:ind w:firstLine="0" w:firstLineChars="0"/>
        <w:rPr>
          <w:rFonts w:hint="eastAsia"/>
          <w:color w:val="auto"/>
          <w:highlight w:val="none"/>
        </w:rPr>
      </w:pPr>
      <w:bookmarkStart w:id="12" w:name="_Toc23084"/>
      <w:r>
        <w:rPr>
          <w:rFonts w:hint="eastAsia"/>
          <w:color w:val="auto"/>
          <w:highlight w:val="none"/>
        </w:rPr>
        <w:t>附图四：红谷滩区畜禽养殖禁养区</w:t>
      </w:r>
      <w:r>
        <w:rPr>
          <w:rFonts w:hint="eastAsia"/>
          <w:color w:val="auto"/>
          <w:highlight w:val="none"/>
          <w:lang w:val="en-US" w:eastAsia="zh-CN"/>
        </w:rPr>
        <w:t>划定图</w:t>
      </w:r>
      <w:r>
        <w:rPr>
          <w:rFonts w:hint="eastAsia"/>
          <w:color w:val="auto"/>
          <w:highlight w:val="none"/>
        </w:rPr>
        <w:t>-</w:t>
      </w:r>
      <w:r>
        <w:rPr>
          <w:rFonts w:hint="eastAsia"/>
          <w:color w:val="auto"/>
          <w:highlight w:val="none"/>
          <w:lang w:val="en-US" w:eastAsia="zh-CN"/>
        </w:rPr>
        <w:t>生米、红角洲、昌南水厂</w:t>
      </w:r>
      <w:r>
        <w:rPr>
          <w:rFonts w:hint="eastAsia"/>
          <w:color w:val="auto"/>
          <w:highlight w:val="none"/>
        </w:rPr>
        <w:t>饮用水源</w:t>
      </w:r>
      <w:r>
        <w:rPr>
          <w:rFonts w:hint="eastAsia"/>
          <w:color w:val="auto"/>
          <w:highlight w:val="none"/>
          <w:lang w:val="en-US" w:eastAsia="zh-CN"/>
        </w:rPr>
        <w:t>地</w:t>
      </w:r>
      <w:r>
        <w:rPr>
          <w:rFonts w:hint="eastAsia"/>
          <w:color w:val="auto"/>
          <w:highlight w:val="none"/>
        </w:rPr>
        <w:t>保护区</w:t>
      </w:r>
      <w:bookmarkEnd w:id="12"/>
    </w:p>
    <w:p w14:paraId="3AB3CCE0">
      <w:pPr>
        <w:spacing w:before="120" w:after="120" w:line="288" w:lineRule="auto"/>
        <w:ind w:firstLine="0" w:firstLineChars="0"/>
        <w:jc w:val="center"/>
        <w:rPr>
          <w:rFonts w:hint="eastAsia" w:eastAsia="仿宋_GB2312"/>
          <w:color w:val="auto"/>
          <w:highlight w:val="none"/>
          <w:lang w:eastAsia="zh-CN"/>
        </w:rPr>
      </w:pPr>
      <w:r>
        <w:rPr>
          <w:rFonts w:hint="eastAsia" w:eastAsia="仿宋_GB2312"/>
          <w:color w:val="auto"/>
          <w:highlight w:val="none"/>
          <w:lang w:eastAsia="zh-CN"/>
        </w:rPr>
        <w:drawing>
          <wp:inline distT="0" distB="0" distL="114300" distR="114300">
            <wp:extent cx="5222240" cy="7379970"/>
            <wp:effectExtent l="0" t="0" r="16510" b="11430"/>
            <wp:docPr id="91" name="图片 91" descr="060a81e4514e168d96c2a3362205f7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descr="060a81e4514e168d96c2a3362205f75a"/>
                    <pic:cNvPicPr>
                      <a:picLocks noChangeAspect="1"/>
                    </pic:cNvPicPr>
                  </pic:nvPicPr>
                  <pic:blipFill>
                    <a:blip r:embed="rId9"/>
                    <a:stretch>
                      <a:fillRect/>
                    </a:stretch>
                  </pic:blipFill>
                  <pic:spPr>
                    <a:xfrm>
                      <a:off x="0" y="0"/>
                      <a:ext cx="5222240" cy="7379970"/>
                    </a:xfrm>
                    <a:prstGeom prst="rect">
                      <a:avLst/>
                    </a:prstGeom>
                  </pic:spPr>
                </pic:pic>
              </a:graphicData>
            </a:graphic>
          </wp:inline>
        </w:drawing>
      </w:r>
    </w:p>
    <w:p w14:paraId="2B20AB71">
      <w:pPr>
        <w:pStyle w:val="3"/>
        <w:spacing w:before="240" w:after="240"/>
        <w:ind w:firstLine="0" w:firstLineChars="0"/>
        <w:rPr>
          <w:rFonts w:hint="eastAsia"/>
          <w:color w:val="auto"/>
          <w:highlight w:val="none"/>
        </w:rPr>
      </w:pPr>
      <w:bookmarkStart w:id="13" w:name="_Toc28270"/>
      <w:r>
        <w:rPr>
          <w:rFonts w:hint="eastAsia"/>
          <w:color w:val="auto"/>
          <w:highlight w:val="none"/>
        </w:rPr>
        <w:t>附图</w:t>
      </w:r>
      <w:r>
        <w:rPr>
          <w:rFonts w:hint="eastAsia"/>
          <w:color w:val="auto"/>
          <w:highlight w:val="none"/>
          <w:lang w:val="en-US" w:eastAsia="zh-CN"/>
        </w:rPr>
        <w:t>五</w:t>
      </w:r>
      <w:r>
        <w:rPr>
          <w:rFonts w:hint="eastAsia"/>
          <w:color w:val="auto"/>
          <w:highlight w:val="none"/>
        </w:rPr>
        <w:t>：红谷滩区畜禽养殖禁养区</w:t>
      </w:r>
      <w:r>
        <w:rPr>
          <w:rFonts w:hint="eastAsia"/>
          <w:color w:val="auto"/>
          <w:highlight w:val="none"/>
          <w:lang w:val="en-US" w:eastAsia="zh-CN"/>
        </w:rPr>
        <w:t>划定图－生米街道</w:t>
      </w:r>
      <w:bookmarkEnd w:id="13"/>
    </w:p>
    <w:p w14:paraId="1C7B4C00">
      <w:pPr>
        <w:spacing w:before="120" w:after="120" w:line="288" w:lineRule="auto"/>
        <w:ind w:firstLine="0" w:firstLineChars="0"/>
        <w:jc w:val="center"/>
        <w:rPr>
          <w:rFonts w:hint="eastAsia" w:eastAsia="仿宋_GB2312"/>
          <w:color w:val="auto"/>
          <w:highlight w:val="none"/>
          <w:lang w:eastAsia="zh-CN"/>
        </w:rPr>
      </w:pPr>
      <w:r>
        <w:rPr>
          <w:rFonts w:hint="eastAsia" w:eastAsia="仿宋_GB2312"/>
          <w:color w:val="auto"/>
          <w:highlight w:val="none"/>
          <w:lang w:eastAsia="zh-CN"/>
        </w:rPr>
        <w:drawing>
          <wp:inline distT="0" distB="0" distL="114300" distR="114300">
            <wp:extent cx="5476875" cy="7740015"/>
            <wp:effectExtent l="0" t="0" r="9525" b="13335"/>
            <wp:docPr id="7" name="图片 7" descr="04红谷滩区畜禽养殖禁养区划定-生米街道0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04红谷滩区畜禽养殖禁养区划定-生米街道0604"/>
                    <pic:cNvPicPr>
                      <a:picLocks noChangeAspect="1"/>
                    </pic:cNvPicPr>
                  </pic:nvPicPr>
                  <pic:blipFill>
                    <a:blip r:embed="rId10"/>
                    <a:stretch>
                      <a:fillRect/>
                    </a:stretch>
                  </pic:blipFill>
                  <pic:spPr>
                    <a:xfrm>
                      <a:off x="0" y="0"/>
                      <a:ext cx="5476875" cy="7740015"/>
                    </a:xfrm>
                    <a:prstGeom prst="rect">
                      <a:avLst/>
                    </a:prstGeom>
                  </pic:spPr>
                </pic:pic>
              </a:graphicData>
            </a:graphic>
          </wp:inline>
        </w:drawing>
      </w:r>
    </w:p>
    <w:p w14:paraId="31E5F8ED">
      <w:pPr>
        <w:pStyle w:val="3"/>
        <w:spacing w:before="240" w:after="240"/>
        <w:ind w:firstLine="0" w:firstLineChars="0"/>
        <w:rPr>
          <w:rFonts w:hint="eastAsia" w:eastAsia="仿宋_GB2312"/>
          <w:color w:val="auto"/>
          <w:highlight w:val="none"/>
          <w:lang w:val="en-US" w:eastAsia="zh-CN"/>
        </w:rPr>
      </w:pPr>
      <w:bookmarkStart w:id="14" w:name="_Toc5351"/>
      <w:r>
        <w:rPr>
          <w:rFonts w:hint="eastAsia"/>
          <w:color w:val="auto"/>
          <w:highlight w:val="none"/>
        </w:rPr>
        <w:t>附图</w:t>
      </w:r>
      <w:r>
        <w:rPr>
          <w:rFonts w:hint="eastAsia"/>
          <w:color w:val="auto"/>
          <w:highlight w:val="none"/>
          <w:lang w:val="en-US" w:eastAsia="zh-CN"/>
        </w:rPr>
        <w:t>六</w:t>
      </w:r>
      <w:r>
        <w:rPr>
          <w:rFonts w:hint="eastAsia"/>
          <w:color w:val="auto"/>
          <w:highlight w:val="none"/>
        </w:rPr>
        <w:t>：红谷滩区畜禽养殖禁养区</w:t>
      </w:r>
      <w:r>
        <w:rPr>
          <w:rFonts w:hint="eastAsia"/>
          <w:color w:val="auto"/>
          <w:highlight w:val="none"/>
          <w:lang w:val="en-US" w:eastAsia="zh-CN"/>
        </w:rPr>
        <w:t>划定图－流湖镇</w:t>
      </w:r>
      <w:bookmarkEnd w:id="14"/>
    </w:p>
    <w:p w14:paraId="674AE052">
      <w:pPr>
        <w:spacing w:before="120" w:after="120" w:line="288" w:lineRule="auto"/>
        <w:ind w:firstLine="0" w:firstLineChars="0"/>
        <w:jc w:val="center"/>
        <w:rPr>
          <w:rFonts w:hint="eastAsia" w:eastAsia="仿宋_GB2312"/>
          <w:color w:val="auto"/>
          <w:highlight w:val="none"/>
          <w:lang w:eastAsia="zh-CN"/>
        </w:rPr>
      </w:pPr>
      <w:r>
        <w:rPr>
          <w:rFonts w:hint="eastAsia" w:eastAsia="仿宋_GB2312"/>
          <w:color w:val="auto"/>
          <w:highlight w:val="none"/>
          <w:lang w:eastAsia="zh-CN"/>
        </w:rPr>
        <w:drawing>
          <wp:inline distT="0" distB="0" distL="114300" distR="114300">
            <wp:extent cx="5476875" cy="7740015"/>
            <wp:effectExtent l="0" t="0" r="9525" b="13335"/>
            <wp:docPr id="6" name="图片 6" descr="05红谷滩区畜禽养殖禁养区划定-流湖镇0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05红谷滩区畜禽养殖禁养区划定-流湖镇0604"/>
                    <pic:cNvPicPr>
                      <a:picLocks noChangeAspect="1"/>
                    </pic:cNvPicPr>
                  </pic:nvPicPr>
                  <pic:blipFill>
                    <a:blip r:embed="rId11"/>
                    <a:stretch>
                      <a:fillRect/>
                    </a:stretch>
                  </pic:blipFill>
                  <pic:spPr>
                    <a:xfrm>
                      <a:off x="0" y="0"/>
                      <a:ext cx="5476875" cy="7740015"/>
                    </a:xfrm>
                    <a:prstGeom prst="rect">
                      <a:avLst/>
                    </a:prstGeom>
                  </pic:spPr>
                </pic:pic>
              </a:graphicData>
            </a:graphic>
          </wp:inline>
        </w:drawing>
      </w:r>
    </w:p>
    <w:p w14:paraId="508D7F8B">
      <w:pPr>
        <w:pStyle w:val="3"/>
        <w:spacing w:before="240" w:after="240"/>
        <w:ind w:firstLine="0" w:firstLineChars="0"/>
        <w:rPr>
          <w:rFonts w:hint="eastAsia"/>
          <w:color w:val="auto"/>
          <w:highlight w:val="none"/>
        </w:rPr>
      </w:pPr>
      <w:bookmarkStart w:id="15" w:name="_Toc501"/>
      <w:r>
        <w:rPr>
          <w:rFonts w:hint="eastAsia"/>
          <w:color w:val="auto"/>
          <w:highlight w:val="none"/>
        </w:rPr>
        <w:t>附图</w:t>
      </w:r>
      <w:r>
        <w:rPr>
          <w:rFonts w:hint="eastAsia"/>
          <w:color w:val="auto"/>
          <w:highlight w:val="none"/>
          <w:lang w:val="en-US" w:eastAsia="zh-CN"/>
        </w:rPr>
        <w:t>七</w:t>
      </w:r>
      <w:r>
        <w:rPr>
          <w:rFonts w:hint="eastAsia"/>
          <w:color w:val="auto"/>
          <w:highlight w:val="none"/>
        </w:rPr>
        <w:t>：红谷滩区畜禽养殖禁养区</w:t>
      </w:r>
      <w:r>
        <w:rPr>
          <w:rFonts w:hint="eastAsia"/>
          <w:color w:val="auto"/>
          <w:highlight w:val="none"/>
          <w:lang w:val="en-US" w:eastAsia="zh-CN"/>
        </w:rPr>
        <w:t>划定图－厚田镇</w:t>
      </w:r>
      <w:bookmarkEnd w:id="15"/>
    </w:p>
    <w:p w14:paraId="1D3A76D1">
      <w:pPr>
        <w:spacing w:before="120" w:after="120" w:line="288" w:lineRule="auto"/>
        <w:ind w:firstLine="0" w:firstLineChars="0"/>
        <w:jc w:val="center"/>
        <w:rPr>
          <w:rFonts w:hint="eastAsia" w:eastAsia="仿宋_GB2312"/>
          <w:color w:val="auto"/>
          <w:highlight w:val="none"/>
          <w:lang w:eastAsia="zh-CN"/>
        </w:rPr>
      </w:pPr>
      <w:r>
        <w:rPr>
          <w:rFonts w:hint="eastAsia" w:eastAsia="仿宋_GB2312"/>
          <w:color w:val="auto"/>
          <w:highlight w:val="none"/>
          <w:lang w:eastAsia="zh-CN"/>
        </w:rPr>
        <w:drawing>
          <wp:inline distT="0" distB="0" distL="114300" distR="114300">
            <wp:extent cx="5476875" cy="7740015"/>
            <wp:effectExtent l="0" t="0" r="9525" b="13335"/>
            <wp:docPr id="11" name="图片 11" descr="06红谷滩区畜禽养殖禁养区划定-厚田镇0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06红谷滩区畜禽养殖禁养区划定-厚田镇0604"/>
                    <pic:cNvPicPr>
                      <a:picLocks noChangeAspect="1"/>
                    </pic:cNvPicPr>
                  </pic:nvPicPr>
                  <pic:blipFill>
                    <a:blip r:embed="rId12"/>
                    <a:stretch>
                      <a:fillRect/>
                    </a:stretch>
                  </pic:blipFill>
                  <pic:spPr>
                    <a:xfrm>
                      <a:off x="0" y="0"/>
                      <a:ext cx="5476875" cy="7740015"/>
                    </a:xfrm>
                    <a:prstGeom prst="rect">
                      <a:avLst/>
                    </a:prstGeom>
                  </pic:spPr>
                </pic:pic>
              </a:graphicData>
            </a:graphic>
          </wp:inline>
        </w:drawing>
      </w:r>
    </w:p>
    <w:p w14:paraId="35E7A4B4">
      <w:pPr>
        <w:pStyle w:val="3"/>
        <w:spacing w:before="240" w:after="240"/>
        <w:ind w:firstLine="0" w:firstLineChars="0"/>
        <w:rPr>
          <w:rFonts w:hint="eastAsia"/>
          <w:color w:val="auto"/>
          <w:highlight w:val="none"/>
        </w:rPr>
      </w:pPr>
      <w:bookmarkStart w:id="16" w:name="_Toc15054"/>
      <w:r>
        <w:rPr>
          <w:rFonts w:hint="eastAsia"/>
          <w:color w:val="auto"/>
          <w:highlight w:val="none"/>
        </w:rPr>
        <w:t>附图</w:t>
      </w:r>
      <w:r>
        <w:rPr>
          <w:rFonts w:hint="eastAsia"/>
          <w:color w:val="auto"/>
          <w:highlight w:val="none"/>
          <w:lang w:val="en-US" w:eastAsia="zh-CN"/>
        </w:rPr>
        <w:t>八</w:t>
      </w:r>
      <w:r>
        <w:rPr>
          <w:rFonts w:hint="eastAsia"/>
          <w:color w:val="auto"/>
          <w:highlight w:val="none"/>
        </w:rPr>
        <w:t>：红谷滩区畜禽养殖禁养区</w:t>
      </w:r>
      <w:r>
        <w:rPr>
          <w:rFonts w:hint="eastAsia"/>
          <w:color w:val="auto"/>
          <w:highlight w:val="none"/>
          <w:lang w:val="en-US" w:eastAsia="zh-CN"/>
        </w:rPr>
        <w:t>划定图</w:t>
      </w:r>
      <w:bookmarkEnd w:id="16"/>
    </w:p>
    <w:p w14:paraId="64E5308C">
      <w:pPr>
        <w:numPr>
          <w:numId w:val="0"/>
        </w:numPr>
        <w:ind w:leftChars="200"/>
        <w:rPr>
          <w:rFonts w:hint="default"/>
          <w:lang w:val="en-US" w:eastAsia="zh-CN"/>
        </w:rPr>
      </w:pPr>
      <w:r>
        <w:rPr>
          <w:rFonts w:hint="eastAsia" w:eastAsia="仿宋_GB2312"/>
          <w:color w:val="auto"/>
          <w:highlight w:val="none"/>
          <w:lang w:eastAsia="zh-CN"/>
        </w:rPr>
        <w:drawing>
          <wp:inline distT="0" distB="0" distL="114300" distR="114300">
            <wp:extent cx="5477510" cy="7740015"/>
            <wp:effectExtent l="0" t="0" r="8890" b="13335"/>
            <wp:docPr id="12" name="图片 12" descr="07红谷滩区畜禽养殖禁养区划定图06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07红谷滩区畜禽养殖禁养区划定图0604-2"/>
                    <pic:cNvPicPr>
                      <a:picLocks noChangeAspect="1"/>
                    </pic:cNvPicPr>
                  </pic:nvPicPr>
                  <pic:blipFill>
                    <a:blip r:embed="rId13"/>
                    <a:stretch>
                      <a:fillRect/>
                    </a:stretch>
                  </pic:blipFill>
                  <pic:spPr>
                    <a:xfrm>
                      <a:off x="0" y="0"/>
                      <a:ext cx="5477510" cy="7740015"/>
                    </a:xfrm>
                    <a:prstGeom prst="rect">
                      <a:avLst/>
                    </a:prstGeom>
                  </pic:spPr>
                </pic:pic>
              </a:graphicData>
            </a:graphic>
          </wp:inline>
        </w:drawing>
      </w:r>
    </w:p>
    <w:p w14:paraId="75AB3C90">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00"/>
      </w:pPr>
      <w:r>
        <w:separator/>
      </w:r>
    </w:p>
  </w:endnote>
  <w:endnote w:type="continuationSeparator" w:id="1">
    <w:p>
      <w:pPr>
        <w:spacing w:line="240" w:lineRule="auto"/>
        <w:ind w:firstLine="6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4F"/>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00"/>
      </w:pPr>
      <w:r>
        <w:separator/>
      </w:r>
    </w:p>
  </w:footnote>
  <w:footnote w:type="continuationSeparator" w:id="1">
    <w:p>
      <w:pPr>
        <w:spacing w:line="240" w:lineRule="auto"/>
        <w:ind w:firstLine="60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7EC4F0"/>
    <w:multiLevelType w:val="singleLevel"/>
    <w:tmpl w:val="187EC4F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DF1AD3"/>
    <w:rsid w:val="26897349"/>
    <w:rsid w:val="298455BB"/>
    <w:rsid w:val="4BDF1A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ordWrap w:val="0"/>
      <w:spacing w:line="560" w:lineRule="exact"/>
      <w:ind w:firstLine="883" w:firstLineChars="200"/>
      <w:jc w:val="both"/>
    </w:pPr>
    <w:rPr>
      <w:rFonts w:ascii="仿宋_GB2312" w:hAnsi="仿宋_GB2312" w:eastAsia="仿宋_GB2312" w:cstheme="minorBidi"/>
      <w:sz w:val="30"/>
      <w:szCs w:val="22"/>
      <w:lang w:val="en-US" w:eastAsia="zh-CN" w:bidi="ar-SA"/>
    </w:rPr>
  </w:style>
  <w:style w:type="paragraph" w:styleId="2">
    <w:name w:val="heading 1"/>
    <w:basedOn w:val="1"/>
    <w:next w:val="1"/>
    <w:qFormat/>
    <w:uiPriority w:val="0"/>
    <w:pPr>
      <w:keepNext/>
      <w:keepLines/>
      <w:spacing w:before="100" w:beforeLines="100" w:after="200" w:afterLines="200"/>
      <w:ind w:firstLine="0" w:firstLineChars="0"/>
      <w:jc w:val="center"/>
      <w:outlineLvl w:val="0"/>
    </w:pPr>
    <w:rPr>
      <w:rFonts w:ascii="黑体" w:hAnsi="黑体" w:eastAsia="黑体"/>
      <w:b/>
      <w:kern w:val="44"/>
      <w:sz w:val="44"/>
    </w:rPr>
  </w:style>
  <w:style w:type="paragraph" w:styleId="3">
    <w:name w:val="heading 2"/>
    <w:basedOn w:val="1"/>
    <w:next w:val="1"/>
    <w:unhideWhenUsed/>
    <w:qFormat/>
    <w:uiPriority w:val="0"/>
    <w:pPr>
      <w:keepNext/>
      <w:keepLines/>
      <w:spacing w:before="100" w:beforeLines="100" w:after="100" w:afterLines="100"/>
      <w:ind w:firstLine="0" w:firstLineChars="0"/>
      <w:jc w:val="left"/>
      <w:outlineLvl w:val="1"/>
    </w:pPr>
    <w:rPr>
      <w:b/>
      <w:sz w:val="32"/>
    </w:rPr>
  </w:style>
  <w:style w:type="paragraph" w:styleId="4">
    <w:name w:val="heading 3"/>
    <w:basedOn w:val="1"/>
    <w:next w:val="1"/>
    <w:unhideWhenUsed/>
    <w:qFormat/>
    <w:uiPriority w:val="0"/>
    <w:pPr>
      <w:spacing w:before="50" w:beforeLines="50" w:beforeAutospacing="0" w:after="50" w:afterLines="50" w:afterAutospacing="0"/>
      <w:ind w:firstLine="0" w:firstLineChars="0"/>
      <w:jc w:val="left"/>
      <w:outlineLvl w:val="2"/>
    </w:pPr>
    <w:rPr>
      <w:rFonts w:hint="eastAsia" w:cs="仿宋_GB2312"/>
      <w:b/>
      <w:bCs/>
      <w:szCs w:val="30"/>
    </w:rPr>
  </w:style>
  <w:style w:type="character" w:default="1" w:styleId="9">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5">
    <w:name w:val="toc 3"/>
    <w:basedOn w:val="1"/>
    <w:next w:val="1"/>
    <w:qFormat/>
    <w:uiPriority w:val="39"/>
    <w:pPr>
      <w:ind w:left="840" w:leftChars="400"/>
    </w:pPr>
  </w:style>
  <w:style w:type="paragraph" w:styleId="6">
    <w:name w:val="Normal (Web)"/>
    <w:basedOn w:val="1"/>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Default"/>
    <w:next w:val="5"/>
    <w:autoRedefine/>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25</Pages>
  <Words>0</Words>
  <Characters>0</Characters>
  <Lines>0</Lines>
  <Paragraphs>0</Paragraphs>
  <TotalTime>0</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2026-06-09T07:05:00Z</dcterms:created>
  <dc:creator>L</dc:creator>
  <cp:lastModifiedBy>L</cp:lastModifiedBy>
  <cp:lastPrinted>2026-06-09T07:54:29Z</cp:lastPrinted>
  <dcterms:modified xsi:type="dcterms:W3CDTF">2026-06-09T07:58:55Z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D0355C58634D413FB9CD92A9A78B67A7_11</vt:lpwstr>
  </property>
  <property fmtid="{D5CDD505-2E9C-101B-9397-08002B2CF9AE}" pid="4" name="KSOTemplateDocerSaveRecord">
    <vt:lpwstr>eyJoZGlkIjoiNmFmNTA4ZWMyMmM3NjI1YmQ1MzY5ODc2NjA3YzJkZmIiLCJ1c2VySWQiOiIyMzY3MTA2MzIifQ==</vt:lpwstr>
  </property>
</Properties>
</file>