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b/>
          <w:sz w:val="44"/>
          <w:szCs w:val="44"/>
          <w:lang w:eastAsia="zh-CN"/>
        </w:rPr>
      </w:pPr>
    </w:p>
    <w:p>
      <w:pPr>
        <w:jc w:val="center"/>
        <w:rPr>
          <w:rFonts w:hint="eastAsia" w:ascii="黑体" w:hAnsi="黑体" w:eastAsia="黑体"/>
          <w:b/>
          <w:sz w:val="44"/>
          <w:szCs w:val="44"/>
        </w:rPr>
      </w:pPr>
      <w:r>
        <w:rPr>
          <w:rFonts w:hint="eastAsia" w:ascii="黑体" w:hAnsi="黑体" w:eastAsia="黑体"/>
          <w:b/>
          <w:sz w:val="44"/>
          <w:szCs w:val="44"/>
          <w:lang w:eastAsia="zh-CN"/>
        </w:rPr>
        <w:t>南昌市红谷滩</w:t>
      </w:r>
      <w:r>
        <w:rPr>
          <w:rFonts w:hint="eastAsia" w:ascii="黑体" w:hAnsi="黑体" w:eastAsia="黑体"/>
          <w:b/>
          <w:sz w:val="44"/>
          <w:szCs w:val="44"/>
        </w:rPr>
        <w:t>区</w:t>
      </w:r>
      <w:r>
        <w:rPr>
          <w:rFonts w:hint="eastAsia" w:ascii="黑体" w:hAnsi="黑体" w:eastAsia="黑体"/>
          <w:b/>
          <w:sz w:val="44"/>
          <w:szCs w:val="44"/>
          <w:lang w:val="en-US" w:eastAsia="zh-CN"/>
        </w:rPr>
        <w:t>商务</w:t>
      </w:r>
      <w:r>
        <w:rPr>
          <w:rFonts w:hint="eastAsia" w:ascii="黑体" w:hAnsi="黑体" w:eastAsia="黑体"/>
          <w:b/>
          <w:sz w:val="44"/>
          <w:szCs w:val="44"/>
        </w:rPr>
        <w:t>局20</w:t>
      </w:r>
      <w:r>
        <w:rPr>
          <w:rFonts w:hint="eastAsia" w:ascii="黑体" w:hAnsi="黑体" w:eastAsia="黑体"/>
          <w:b/>
          <w:sz w:val="44"/>
          <w:szCs w:val="44"/>
          <w:lang w:val="en-US" w:eastAsia="zh-CN"/>
        </w:rPr>
        <w:t>21</w:t>
      </w:r>
      <w:r>
        <w:rPr>
          <w:rFonts w:hint="eastAsia" w:ascii="黑体" w:hAnsi="黑体" w:eastAsia="黑体"/>
          <w:b/>
          <w:sz w:val="44"/>
          <w:szCs w:val="44"/>
        </w:rPr>
        <w:t>年度部门决算</w:t>
      </w:r>
    </w:p>
    <w:p>
      <w:pPr>
        <w:jc w:val="center"/>
        <w:rPr>
          <w:rFonts w:hint="eastAsia" w:ascii="黑体" w:hAnsi="黑体" w:eastAsia="黑体"/>
          <w:b/>
          <w:sz w:val="44"/>
          <w:szCs w:val="44"/>
        </w:rPr>
      </w:pPr>
    </w:p>
    <w:p>
      <w:pPr>
        <w:jc w:val="center"/>
        <w:rPr>
          <w:rFonts w:ascii="黑体" w:hAnsi="黑体" w:eastAsia="黑体"/>
          <w:sz w:val="44"/>
          <w:szCs w:val="44"/>
        </w:rPr>
      </w:pPr>
      <w:r>
        <w:rPr>
          <w:rFonts w:hint="eastAsia" w:ascii="黑体" w:hAnsi="黑体" w:eastAsia="黑体"/>
          <w:sz w:val="44"/>
          <w:szCs w:val="44"/>
        </w:rPr>
        <w:t>目　　录</w:t>
      </w:r>
    </w:p>
    <w:p>
      <w:pPr>
        <w:snapToGrid/>
        <w:spacing w:line="540" w:lineRule="exact"/>
        <w:ind w:firstLine="640" w:firstLineChars="200"/>
        <w:rPr>
          <w:rFonts w:ascii="黑体" w:hAnsi="黑体" w:eastAsia="黑体"/>
          <w:sz w:val="32"/>
          <w:szCs w:val="32"/>
        </w:rPr>
      </w:pPr>
      <w:r>
        <w:rPr>
          <w:rFonts w:hint="eastAsia" w:ascii="黑体" w:hAnsi="黑体" w:eastAsia="黑体"/>
          <w:sz w:val="32"/>
          <w:szCs w:val="32"/>
        </w:rPr>
        <w:t>第一部分  区</w:t>
      </w:r>
      <w:r>
        <w:rPr>
          <w:rFonts w:hint="eastAsia" w:ascii="黑体" w:hAnsi="黑体" w:eastAsia="黑体"/>
          <w:sz w:val="32"/>
          <w:szCs w:val="32"/>
          <w:lang w:val="en-US" w:eastAsia="zh-CN"/>
        </w:rPr>
        <w:t>商务</w:t>
      </w:r>
      <w:r>
        <w:rPr>
          <w:rFonts w:hint="eastAsia" w:ascii="黑体" w:hAnsi="黑体" w:eastAsia="黑体"/>
          <w:sz w:val="32"/>
          <w:szCs w:val="32"/>
        </w:rPr>
        <w:t>局部门概况</w:t>
      </w:r>
    </w:p>
    <w:p>
      <w:pPr>
        <w:snapToGrid/>
        <w:spacing w:line="540" w:lineRule="exact"/>
        <w:rPr>
          <w:rFonts w:ascii="仿宋" w:hAnsi="仿宋" w:eastAsia="仿宋"/>
          <w:sz w:val="32"/>
          <w:szCs w:val="32"/>
        </w:rPr>
      </w:pPr>
      <w:r>
        <w:rPr>
          <w:rFonts w:hint="eastAsia" w:ascii="仿宋" w:hAnsi="仿宋" w:eastAsia="仿宋"/>
          <w:sz w:val="32"/>
          <w:szCs w:val="32"/>
        </w:rPr>
        <w:t xml:space="preserve">        一、部门主要职责</w:t>
      </w:r>
    </w:p>
    <w:p>
      <w:pPr>
        <w:snapToGrid/>
        <w:spacing w:line="540" w:lineRule="exact"/>
        <w:rPr>
          <w:rFonts w:ascii="仿宋" w:hAnsi="仿宋" w:eastAsia="仿宋"/>
          <w:sz w:val="32"/>
          <w:szCs w:val="32"/>
        </w:rPr>
      </w:pPr>
      <w:r>
        <w:rPr>
          <w:rFonts w:hint="eastAsia" w:ascii="仿宋" w:hAnsi="仿宋" w:eastAsia="仿宋"/>
          <w:sz w:val="32"/>
          <w:szCs w:val="32"/>
        </w:rPr>
        <w:t xml:space="preserve">        二、部门基本情况</w:t>
      </w:r>
    </w:p>
    <w:p>
      <w:pPr>
        <w:snapToGrid/>
        <w:spacing w:line="540" w:lineRule="exact"/>
        <w:ind w:firstLine="640" w:firstLineChars="200"/>
        <w:rPr>
          <w:rFonts w:ascii="黑体" w:hAnsi="黑体" w:eastAsia="黑体"/>
          <w:sz w:val="32"/>
          <w:szCs w:val="32"/>
        </w:rPr>
      </w:pPr>
      <w:r>
        <w:rPr>
          <w:rFonts w:hint="eastAsia" w:ascii="黑体" w:hAnsi="黑体" w:eastAsia="黑体"/>
          <w:sz w:val="32"/>
          <w:szCs w:val="32"/>
        </w:rPr>
        <w:t>第二部分  20</w:t>
      </w:r>
      <w:r>
        <w:rPr>
          <w:rFonts w:hint="eastAsia" w:ascii="黑体" w:hAnsi="黑体" w:eastAsia="黑体"/>
          <w:sz w:val="32"/>
          <w:szCs w:val="32"/>
          <w:lang w:val="en-US" w:eastAsia="zh-CN"/>
        </w:rPr>
        <w:t>21</w:t>
      </w:r>
      <w:r>
        <w:rPr>
          <w:rFonts w:hint="eastAsia" w:ascii="黑体" w:hAnsi="黑体" w:eastAsia="黑体"/>
          <w:sz w:val="32"/>
          <w:szCs w:val="32"/>
        </w:rPr>
        <w:t>年度部门决算表</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rPr>
        <w:t>一、收入支出决算总表</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rPr>
        <w:t>二、收入决算表</w:t>
      </w:r>
    </w:p>
    <w:p>
      <w:pPr>
        <w:snapToGrid/>
        <w:spacing w:line="540" w:lineRule="exact"/>
        <w:rPr>
          <w:rFonts w:ascii="仿宋" w:hAnsi="仿宋" w:eastAsia="仿宋"/>
          <w:sz w:val="32"/>
          <w:szCs w:val="32"/>
        </w:rPr>
      </w:pPr>
      <w:r>
        <w:rPr>
          <w:rFonts w:hint="eastAsia" w:ascii="仿宋" w:hAnsi="仿宋" w:eastAsia="仿宋"/>
          <w:sz w:val="32"/>
          <w:szCs w:val="32"/>
        </w:rPr>
        <w:t xml:space="preserve">        三、支出决算表</w:t>
      </w:r>
    </w:p>
    <w:p>
      <w:pPr>
        <w:snapToGrid/>
        <w:spacing w:line="540" w:lineRule="exact"/>
        <w:rPr>
          <w:rFonts w:ascii="仿宋" w:hAnsi="仿宋" w:eastAsia="仿宋"/>
          <w:sz w:val="32"/>
          <w:szCs w:val="32"/>
        </w:rPr>
      </w:pPr>
      <w:r>
        <w:rPr>
          <w:rFonts w:hint="eastAsia" w:ascii="仿宋" w:hAnsi="仿宋" w:eastAsia="仿宋"/>
          <w:sz w:val="32"/>
          <w:szCs w:val="32"/>
        </w:rPr>
        <w:t xml:space="preserve">        四、财政拨款收入支出决算总表</w:t>
      </w:r>
    </w:p>
    <w:p>
      <w:pPr>
        <w:snapToGrid/>
        <w:spacing w:line="540" w:lineRule="exact"/>
        <w:rPr>
          <w:rFonts w:ascii="仿宋" w:hAnsi="仿宋" w:eastAsia="仿宋"/>
          <w:sz w:val="32"/>
          <w:szCs w:val="32"/>
        </w:rPr>
      </w:pPr>
      <w:r>
        <w:rPr>
          <w:rFonts w:hint="eastAsia" w:ascii="仿宋" w:hAnsi="仿宋" w:eastAsia="仿宋"/>
          <w:sz w:val="32"/>
          <w:szCs w:val="32"/>
        </w:rPr>
        <w:t xml:space="preserve">        五、一般公共预算财政拨款支出决算表</w:t>
      </w:r>
    </w:p>
    <w:p>
      <w:pPr>
        <w:snapToGrid/>
        <w:spacing w:line="540" w:lineRule="exact"/>
        <w:rPr>
          <w:rFonts w:ascii="仿宋" w:hAnsi="仿宋" w:eastAsia="仿宋"/>
          <w:sz w:val="32"/>
          <w:szCs w:val="32"/>
        </w:rPr>
      </w:pPr>
      <w:r>
        <w:rPr>
          <w:rFonts w:hint="eastAsia" w:ascii="仿宋" w:hAnsi="仿宋" w:eastAsia="仿宋"/>
          <w:sz w:val="32"/>
          <w:szCs w:val="32"/>
        </w:rPr>
        <w:t xml:space="preserve">        六、一般公共预算财政拨款基本支出决算表</w:t>
      </w:r>
    </w:p>
    <w:p>
      <w:pPr>
        <w:snapToGrid/>
        <w:spacing w:line="540" w:lineRule="exact"/>
        <w:rPr>
          <w:rFonts w:ascii="仿宋" w:hAnsi="仿宋" w:eastAsia="仿宋"/>
          <w:spacing w:val="-20"/>
          <w:sz w:val="32"/>
          <w:szCs w:val="32"/>
        </w:rPr>
      </w:pPr>
      <w:r>
        <w:rPr>
          <w:rFonts w:hint="eastAsia" w:ascii="仿宋" w:hAnsi="仿宋" w:eastAsia="仿宋"/>
          <w:sz w:val="32"/>
          <w:szCs w:val="32"/>
        </w:rPr>
        <w:t xml:space="preserve">        </w:t>
      </w:r>
      <w:r>
        <w:rPr>
          <w:rFonts w:hint="eastAsia" w:ascii="仿宋" w:hAnsi="仿宋" w:eastAsia="仿宋"/>
          <w:spacing w:val="-20"/>
          <w:sz w:val="32"/>
          <w:szCs w:val="32"/>
        </w:rPr>
        <w:t>七、一般公共预算财政拨款“三公”经费支出决算表</w:t>
      </w:r>
    </w:p>
    <w:p>
      <w:pPr>
        <w:snapToGrid/>
        <w:spacing w:line="540" w:lineRule="exact"/>
        <w:rPr>
          <w:rFonts w:hint="eastAsia" w:ascii="仿宋" w:hAnsi="仿宋" w:eastAsia="仿宋"/>
          <w:sz w:val="32"/>
          <w:szCs w:val="32"/>
        </w:rPr>
      </w:pPr>
      <w:r>
        <w:rPr>
          <w:rFonts w:hint="eastAsia" w:ascii="仿宋" w:hAnsi="仿宋" w:eastAsia="仿宋"/>
          <w:sz w:val="32"/>
          <w:szCs w:val="32"/>
        </w:rPr>
        <w:t xml:space="preserve">        八、政府性基金预算财政拨款收入支出决算表</w:t>
      </w:r>
    </w:p>
    <w:p>
      <w:pPr>
        <w:snapToGrid/>
        <w:spacing w:line="540" w:lineRule="exact"/>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        九、国有资本经营预算财政拨款支出决算表</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lang w:val="en-US" w:eastAsia="zh-CN"/>
        </w:rPr>
        <w:t>十</w:t>
      </w:r>
      <w:r>
        <w:rPr>
          <w:rFonts w:hint="eastAsia" w:ascii="仿宋" w:hAnsi="仿宋" w:eastAsia="仿宋"/>
          <w:sz w:val="32"/>
          <w:szCs w:val="32"/>
        </w:rPr>
        <w:t>、国有资产占用情况表</w:t>
      </w:r>
    </w:p>
    <w:p>
      <w:pPr>
        <w:snapToGrid/>
        <w:spacing w:line="540" w:lineRule="exact"/>
        <w:ind w:firstLine="640" w:firstLineChars="200"/>
        <w:rPr>
          <w:rFonts w:ascii="仿宋" w:hAnsi="仿宋" w:eastAsia="仿宋"/>
          <w:sz w:val="32"/>
          <w:szCs w:val="32"/>
        </w:rPr>
      </w:pPr>
      <w:r>
        <w:rPr>
          <w:rFonts w:hint="eastAsia" w:ascii="黑体" w:hAnsi="黑体" w:eastAsia="黑体"/>
          <w:sz w:val="32"/>
          <w:szCs w:val="32"/>
        </w:rPr>
        <w:t>第三部分  20</w:t>
      </w:r>
      <w:r>
        <w:rPr>
          <w:rFonts w:hint="eastAsia" w:ascii="黑体" w:hAnsi="黑体" w:eastAsia="黑体"/>
          <w:sz w:val="32"/>
          <w:szCs w:val="32"/>
          <w:lang w:val="en-US" w:eastAsia="zh-CN"/>
        </w:rPr>
        <w:t>21</w:t>
      </w:r>
      <w:r>
        <w:rPr>
          <w:rFonts w:hint="eastAsia" w:ascii="黑体" w:hAnsi="黑体" w:eastAsia="黑体"/>
          <w:sz w:val="32"/>
          <w:szCs w:val="32"/>
        </w:rPr>
        <w:t>年度部门决算情况说明</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rPr>
        <w:t>一、收入决算情况说明</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rPr>
        <w:t>二、支出决算情况说明</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rPr>
        <w:t>三、财政拨款支出决算情况说明</w:t>
      </w:r>
    </w:p>
    <w:p>
      <w:pPr>
        <w:snapToGrid/>
        <w:spacing w:line="540" w:lineRule="exact"/>
        <w:ind w:firstLine="1280" w:firstLineChars="400"/>
        <w:rPr>
          <w:rFonts w:ascii="仿宋" w:hAnsi="仿宋" w:eastAsia="仿宋"/>
          <w:spacing w:val="-20"/>
          <w:sz w:val="32"/>
          <w:szCs w:val="32"/>
        </w:rPr>
      </w:pPr>
      <w:r>
        <w:rPr>
          <w:rFonts w:hint="eastAsia" w:ascii="仿宋" w:hAnsi="仿宋" w:eastAsia="仿宋"/>
          <w:sz w:val="32"/>
          <w:szCs w:val="32"/>
        </w:rPr>
        <w:t>四、</w:t>
      </w:r>
      <w:r>
        <w:rPr>
          <w:rFonts w:hint="eastAsia" w:ascii="仿宋" w:hAnsi="仿宋" w:eastAsia="仿宋"/>
          <w:spacing w:val="-20"/>
          <w:sz w:val="32"/>
          <w:szCs w:val="32"/>
        </w:rPr>
        <w:t>一般公共预算财政拨款基本支出决算情况说明</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rPr>
        <w:t>五、一般公共预算财政拨款“三公”经费支出决算情况说明</w:t>
      </w:r>
    </w:p>
    <w:p>
      <w:pPr>
        <w:snapToGrid/>
        <w:spacing w:line="540" w:lineRule="exact"/>
        <w:ind w:firstLine="1280" w:firstLineChars="400"/>
        <w:rPr>
          <w:rFonts w:ascii="仿宋" w:hAnsi="仿宋" w:eastAsia="仿宋"/>
          <w:sz w:val="32"/>
          <w:szCs w:val="32"/>
        </w:rPr>
      </w:pPr>
      <w:r>
        <w:rPr>
          <w:rFonts w:hint="eastAsia" w:ascii="仿宋" w:hAnsi="仿宋" w:eastAsia="仿宋"/>
          <w:sz w:val="32"/>
          <w:szCs w:val="32"/>
        </w:rPr>
        <w:t>六、机关运行经费支出情况说明</w:t>
      </w:r>
    </w:p>
    <w:p>
      <w:pPr>
        <w:snapToGrid/>
        <w:spacing w:line="540" w:lineRule="exact"/>
        <w:rPr>
          <w:rFonts w:hint="eastAsia" w:ascii="仿宋" w:hAnsi="仿宋" w:eastAsia="仿宋"/>
          <w:sz w:val="32"/>
          <w:szCs w:val="32"/>
        </w:rPr>
      </w:pPr>
      <w:r>
        <w:rPr>
          <w:rFonts w:hint="eastAsia" w:ascii="仿宋" w:hAnsi="仿宋" w:eastAsia="仿宋"/>
          <w:sz w:val="32"/>
          <w:szCs w:val="32"/>
        </w:rPr>
        <w:t xml:space="preserve">        七、政府采购支出情况说明</w:t>
      </w:r>
    </w:p>
    <w:p>
      <w:pPr>
        <w:snapToGrid/>
        <w:spacing w:line="540" w:lineRule="exact"/>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八、国有资产占用情况说明</w:t>
      </w:r>
    </w:p>
    <w:p>
      <w:pPr>
        <w:snapToGrid/>
        <w:spacing w:line="540" w:lineRule="exact"/>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eastAsia="zh-CN"/>
        </w:rPr>
        <w:t>九</w:t>
      </w:r>
      <w:r>
        <w:rPr>
          <w:rFonts w:hint="eastAsia" w:ascii="仿宋" w:hAnsi="仿宋" w:eastAsia="仿宋"/>
          <w:sz w:val="32"/>
          <w:szCs w:val="32"/>
        </w:rPr>
        <w:t>、预算绩效情况说明</w:t>
      </w:r>
    </w:p>
    <w:p>
      <w:pPr>
        <w:snapToGrid/>
        <w:spacing w:line="540" w:lineRule="exact"/>
        <w:ind w:firstLine="640" w:firstLineChars="200"/>
        <w:rPr>
          <w:rFonts w:ascii="黑体" w:hAnsi="黑体" w:eastAsia="黑体"/>
          <w:sz w:val="32"/>
          <w:szCs w:val="32"/>
        </w:rPr>
      </w:pPr>
      <w:r>
        <w:rPr>
          <w:rFonts w:hint="eastAsia" w:ascii="黑体" w:hAnsi="黑体" w:eastAsia="黑体"/>
          <w:sz w:val="32"/>
          <w:szCs w:val="32"/>
        </w:rPr>
        <w:t>第四部分  名词解释</w:t>
      </w:r>
    </w:p>
    <w:p>
      <w:pPr>
        <w:snapToGrid/>
        <w:spacing w:line="540" w:lineRule="exact"/>
        <w:rPr>
          <w:rFonts w:ascii="仿宋" w:hAnsi="仿宋" w:eastAsia="仿宋"/>
          <w:sz w:val="32"/>
          <w:szCs w:val="32"/>
        </w:rPr>
      </w:pPr>
    </w:p>
    <w:p>
      <w:pPr>
        <w:snapToGrid/>
        <w:spacing w:line="540" w:lineRule="exact"/>
        <w:rPr>
          <w:rFonts w:ascii="仿宋" w:hAnsi="仿宋" w:eastAsia="仿宋"/>
          <w:sz w:val="32"/>
          <w:szCs w:val="32"/>
        </w:rPr>
      </w:pPr>
    </w:p>
    <w:p>
      <w:pPr>
        <w:snapToGrid/>
        <w:spacing w:line="540" w:lineRule="exact"/>
        <w:rPr>
          <w:rFonts w:ascii="仿宋" w:hAnsi="仿宋" w:eastAsia="仿宋"/>
          <w:sz w:val="32"/>
          <w:szCs w:val="32"/>
        </w:rPr>
      </w:pPr>
    </w:p>
    <w:p>
      <w:pPr>
        <w:snapToGrid/>
        <w:spacing w:line="540" w:lineRule="exact"/>
        <w:rPr>
          <w:rFonts w:ascii="仿宋" w:hAnsi="仿宋" w:eastAsia="仿宋"/>
          <w:sz w:val="32"/>
          <w:szCs w:val="32"/>
        </w:rPr>
      </w:pPr>
    </w:p>
    <w:p>
      <w:pPr>
        <w:snapToGrid/>
        <w:spacing w:line="540" w:lineRule="exact"/>
        <w:rPr>
          <w:rFonts w:ascii="仿宋" w:hAnsi="仿宋" w:eastAsia="仿宋"/>
          <w:sz w:val="32"/>
          <w:szCs w:val="32"/>
        </w:rPr>
      </w:pPr>
    </w:p>
    <w:p>
      <w:pPr>
        <w:snapToGrid/>
        <w:spacing w:line="540" w:lineRule="exact"/>
        <w:rPr>
          <w:rFonts w:ascii="仿宋" w:hAnsi="仿宋" w:eastAsia="仿宋"/>
          <w:sz w:val="32"/>
          <w:szCs w:val="32"/>
        </w:rPr>
      </w:pPr>
    </w:p>
    <w:p>
      <w:pPr>
        <w:snapToGrid/>
        <w:spacing w:line="540" w:lineRule="exact"/>
        <w:rPr>
          <w:rFonts w:ascii="仿宋" w:hAnsi="仿宋" w:eastAsia="仿宋"/>
          <w:sz w:val="32"/>
          <w:szCs w:val="32"/>
        </w:rPr>
      </w:pPr>
    </w:p>
    <w:p>
      <w:pPr>
        <w:numPr>
          <w:ilvl w:val="0"/>
          <w:numId w:val="1"/>
        </w:numPr>
        <w:snapToGrid/>
        <w:spacing w:line="540" w:lineRule="exact"/>
        <w:jc w:val="center"/>
        <w:rPr>
          <w:rFonts w:hint="eastAsia" w:ascii="黑体" w:hAnsi="黑体" w:eastAsia="黑体"/>
          <w:b/>
          <w:sz w:val="32"/>
          <w:szCs w:val="32"/>
        </w:rPr>
      </w:pPr>
      <w:r>
        <w:rPr>
          <w:rFonts w:hint="eastAsia" w:ascii="黑体" w:hAnsi="黑体" w:eastAsia="黑体"/>
          <w:b/>
          <w:sz w:val="32"/>
          <w:szCs w:val="32"/>
        </w:rPr>
        <w:t>区</w:t>
      </w:r>
      <w:r>
        <w:rPr>
          <w:rFonts w:hint="eastAsia" w:ascii="黑体" w:hAnsi="黑体" w:eastAsia="黑体"/>
          <w:b/>
          <w:sz w:val="32"/>
          <w:szCs w:val="32"/>
          <w:lang w:val="en-US" w:eastAsia="zh-CN"/>
        </w:rPr>
        <w:t>商务局</w:t>
      </w:r>
      <w:r>
        <w:rPr>
          <w:rFonts w:hint="eastAsia" w:ascii="黑体" w:hAnsi="黑体" w:eastAsia="黑体"/>
          <w:b/>
          <w:sz w:val="32"/>
          <w:szCs w:val="32"/>
        </w:rPr>
        <w:t>部门概况</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一、部门主要职能</w:t>
      </w:r>
    </w:p>
    <w:p>
      <w:pPr>
        <w:snapToGrid w:val="0"/>
        <w:spacing w:line="520" w:lineRule="exact"/>
        <w:ind w:firstLine="640" w:firstLineChars="200"/>
        <w:rPr>
          <w:rFonts w:hint="default" w:ascii="仿宋_GB2312" w:hAnsi="仿宋" w:eastAsia="仿宋"/>
          <w:sz w:val="32"/>
          <w:szCs w:val="32"/>
          <w:lang w:val="en-US" w:eastAsia="zh-CN"/>
        </w:rPr>
      </w:pPr>
      <w:r>
        <w:rPr>
          <w:rFonts w:hint="eastAsia" w:ascii="仿宋_GB2312" w:hAnsi="仿宋" w:eastAsia="仿宋_GB2312"/>
          <w:sz w:val="32"/>
          <w:szCs w:val="32"/>
        </w:rPr>
        <w:t>1．主要职能。</w:t>
      </w:r>
      <w:r>
        <w:rPr>
          <w:rFonts w:hint="eastAsia" w:ascii="仿宋" w:hAnsi="仿宋" w:eastAsia="仿宋"/>
          <w:sz w:val="32"/>
          <w:szCs w:val="32"/>
        </w:rPr>
        <w:t>负责全区对外经济贸易合作及招商引资工作；编制招商工作计划，负责对外招商活动的组织、项目开发、包装及发布；负责进区内、外资项目的立项、审批、服务和管理；负责全</w:t>
      </w:r>
      <w:r>
        <w:rPr>
          <w:rFonts w:hint="eastAsia" w:ascii="仿宋" w:hAnsi="仿宋" w:eastAsia="仿宋"/>
          <w:sz w:val="32"/>
          <w:szCs w:val="32"/>
          <w:lang w:val="en-US" w:eastAsia="zh-CN"/>
        </w:rPr>
        <w:t>区</w:t>
      </w:r>
      <w:r>
        <w:rPr>
          <w:rFonts w:hint="eastAsia" w:ascii="仿宋" w:hAnsi="仿宋" w:eastAsia="仿宋"/>
          <w:sz w:val="32"/>
          <w:szCs w:val="32"/>
        </w:rPr>
        <w:t>VR招商推进工作；负责优化投资环境工作；负责全区项目的跟踪、协调、督办推进工作。</w:t>
      </w:r>
      <w:r>
        <w:rPr>
          <w:rFonts w:hint="eastAsia" w:ascii="仿宋" w:hAnsi="仿宋" w:eastAsia="仿宋"/>
          <w:sz w:val="32"/>
          <w:szCs w:val="32"/>
          <w:lang w:val="en-US" w:eastAsia="zh-CN"/>
        </w:rPr>
        <w:t>负责全区商贸服务业管理、建设、发展推进；负责全区商超、农贸市场安全生产、创建提升等工作。</w:t>
      </w:r>
    </w:p>
    <w:p>
      <w:pPr>
        <w:snapToGrid w:val="0"/>
        <w:spacing w:line="52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rPr>
        <w:t>2．机构情况</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2021年4月成立南昌市红谷滩区商务局，合并了原区外经贸局的招商引资和原区经发局商贸流通管理等职能。</w:t>
      </w:r>
    </w:p>
    <w:p>
      <w:pPr>
        <w:snapToGrid w:val="0"/>
        <w:spacing w:line="52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3.2021年10月VR推进中心划转至南昌市红谷滩区科技和工业信息化局。</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二、部门基本情况</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纳入本套部门决算汇编范围的单位共 1个，包括：区</w:t>
      </w:r>
      <w:r>
        <w:rPr>
          <w:rFonts w:hint="eastAsia" w:ascii="仿宋" w:hAnsi="仿宋" w:eastAsia="仿宋"/>
          <w:sz w:val="32"/>
          <w:szCs w:val="32"/>
          <w:lang w:val="en-US" w:eastAsia="zh-CN"/>
        </w:rPr>
        <w:t>商务局</w:t>
      </w:r>
      <w:r>
        <w:rPr>
          <w:rFonts w:hint="eastAsia" w:ascii="仿宋" w:hAnsi="仿宋" w:eastAsia="仿宋"/>
          <w:sz w:val="32"/>
          <w:szCs w:val="32"/>
        </w:rPr>
        <w:t>。</w:t>
      </w:r>
    </w:p>
    <w:p>
      <w:pPr>
        <w:snapToGrid/>
        <w:spacing w:line="54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本部门</w:t>
      </w:r>
      <w:r>
        <w:rPr>
          <w:rFonts w:hint="eastAsia" w:ascii="仿宋" w:hAnsi="仿宋" w:eastAsia="仿宋"/>
          <w:sz w:val="32"/>
          <w:szCs w:val="32"/>
          <w:lang w:val="en-US" w:eastAsia="zh-CN"/>
        </w:rPr>
        <w:t>2021</w:t>
      </w:r>
      <w:r>
        <w:rPr>
          <w:rFonts w:hint="eastAsia" w:ascii="仿宋" w:hAnsi="仿宋" w:eastAsia="仿宋"/>
          <w:sz w:val="32"/>
          <w:szCs w:val="32"/>
        </w:rPr>
        <w:t>年年末编制人数</w:t>
      </w:r>
      <w:r>
        <w:rPr>
          <w:rFonts w:hint="eastAsia" w:ascii="仿宋" w:hAnsi="仿宋" w:eastAsia="仿宋"/>
          <w:sz w:val="32"/>
          <w:szCs w:val="32"/>
          <w:lang w:val="en-US" w:eastAsia="zh-CN"/>
        </w:rPr>
        <w:t>11</w:t>
      </w:r>
      <w:r>
        <w:rPr>
          <w:rFonts w:hint="eastAsia" w:ascii="仿宋" w:hAnsi="仿宋" w:eastAsia="仿宋"/>
          <w:sz w:val="32"/>
          <w:szCs w:val="32"/>
        </w:rPr>
        <w:t>人，其中行政编制</w:t>
      </w:r>
      <w:r>
        <w:rPr>
          <w:rFonts w:hint="eastAsia" w:ascii="仿宋" w:hAnsi="仿宋" w:eastAsia="仿宋"/>
          <w:sz w:val="32"/>
          <w:szCs w:val="32"/>
          <w:lang w:val="en-US" w:eastAsia="zh-CN"/>
        </w:rPr>
        <w:t>7</w:t>
      </w:r>
      <w:r>
        <w:rPr>
          <w:rFonts w:hint="eastAsia" w:ascii="仿宋" w:hAnsi="仿宋" w:eastAsia="仿宋"/>
          <w:sz w:val="32"/>
          <w:szCs w:val="32"/>
        </w:rPr>
        <w:t>人，事业编制</w:t>
      </w:r>
      <w:r>
        <w:rPr>
          <w:rFonts w:hint="eastAsia" w:ascii="仿宋" w:hAnsi="仿宋" w:eastAsia="仿宋"/>
          <w:sz w:val="32"/>
          <w:szCs w:val="32"/>
          <w:lang w:val="en-US" w:eastAsia="zh-CN"/>
        </w:rPr>
        <w:t>4</w:t>
      </w:r>
      <w:r>
        <w:rPr>
          <w:rFonts w:hint="eastAsia" w:ascii="仿宋" w:hAnsi="仿宋" w:eastAsia="仿宋"/>
          <w:sz w:val="32"/>
          <w:szCs w:val="32"/>
        </w:rPr>
        <w:t>人；年末实有人数</w:t>
      </w:r>
      <w:r>
        <w:rPr>
          <w:rFonts w:hint="eastAsia" w:ascii="仿宋" w:hAnsi="仿宋" w:eastAsia="仿宋"/>
          <w:sz w:val="32"/>
          <w:szCs w:val="32"/>
          <w:lang w:val="en-US" w:eastAsia="zh-CN"/>
        </w:rPr>
        <w:t>32</w:t>
      </w:r>
      <w:r>
        <w:rPr>
          <w:rFonts w:hint="eastAsia" w:ascii="仿宋" w:hAnsi="仿宋" w:eastAsia="仿宋"/>
          <w:sz w:val="32"/>
          <w:szCs w:val="32"/>
        </w:rPr>
        <w:t>人</w:t>
      </w:r>
      <w:r>
        <w:rPr>
          <w:rFonts w:hint="eastAsia" w:ascii="仿宋" w:hAnsi="仿宋" w:eastAsia="仿宋"/>
          <w:sz w:val="32"/>
          <w:szCs w:val="32"/>
          <w:lang w:eastAsia="zh-CN"/>
        </w:rPr>
        <w:t>（</w:t>
      </w:r>
      <w:r>
        <w:rPr>
          <w:rFonts w:hint="eastAsia" w:ascii="仿宋" w:hAnsi="仿宋" w:eastAsia="仿宋"/>
          <w:sz w:val="32"/>
          <w:szCs w:val="32"/>
          <w:lang w:val="en-US" w:eastAsia="zh-CN"/>
        </w:rPr>
        <w:t>因职能划转，VR中心12名人员10月份至区商务局划出至区科工局</w:t>
      </w:r>
      <w:r>
        <w:rPr>
          <w:rFonts w:hint="eastAsia" w:ascii="仿宋" w:hAnsi="仿宋" w:eastAsia="仿宋"/>
          <w:sz w:val="32"/>
          <w:szCs w:val="32"/>
          <w:lang w:eastAsia="zh-CN"/>
        </w:rPr>
        <w:t>）</w:t>
      </w:r>
      <w:r>
        <w:rPr>
          <w:rFonts w:hint="eastAsia" w:ascii="仿宋" w:hAnsi="仿宋" w:eastAsia="仿宋"/>
          <w:sz w:val="32"/>
          <w:szCs w:val="32"/>
        </w:rPr>
        <w:t>，在职人员</w:t>
      </w:r>
      <w:r>
        <w:rPr>
          <w:rFonts w:hint="eastAsia" w:ascii="仿宋" w:hAnsi="仿宋" w:eastAsia="仿宋"/>
          <w:sz w:val="32"/>
          <w:szCs w:val="32"/>
          <w:lang w:val="en-US" w:eastAsia="zh-CN"/>
        </w:rPr>
        <w:t>31</w:t>
      </w:r>
      <w:r>
        <w:rPr>
          <w:rFonts w:hint="eastAsia" w:ascii="仿宋" w:hAnsi="仿宋" w:eastAsia="仿宋"/>
          <w:sz w:val="32"/>
          <w:szCs w:val="32"/>
        </w:rPr>
        <w:t>人</w:t>
      </w:r>
      <w:r>
        <w:rPr>
          <w:rFonts w:hint="eastAsia" w:ascii="仿宋" w:hAnsi="仿宋" w:eastAsia="仿宋"/>
          <w:sz w:val="32"/>
          <w:szCs w:val="32"/>
          <w:lang w:val="en-US" w:eastAsia="zh-CN"/>
        </w:rPr>
        <w:t>,退休人员1人。</w:t>
      </w:r>
    </w:p>
    <w:p>
      <w:pPr>
        <w:snapToGrid/>
        <w:spacing w:line="540" w:lineRule="exact"/>
        <w:ind w:firstLine="640" w:firstLineChars="200"/>
        <w:rPr>
          <w:rFonts w:hint="default" w:ascii="仿宋" w:hAnsi="仿宋" w:eastAsia="仿宋"/>
          <w:sz w:val="32"/>
          <w:szCs w:val="32"/>
          <w:lang w:val="en-US" w:eastAsia="zh-CN"/>
        </w:rPr>
      </w:pPr>
    </w:p>
    <w:p/>
    <w:p/>
    <w:p/>
    <w:p/>
    <w:p>
      <w:pPr>
        <w:pStyle w:val="5"/>
        <w:bidi w:val="0"/>
        <w:jc w:val="center"/>
        <w:rPr>
          <w:rFonts w:hint="eastAsia"/>
        </w:rPr>
      </w:pPr>
      <w:r>
        <w:rPr>
          <w:rFonts w:hint="eastAsia"/>
        </w:rPr>
        <w:t>第二部分　20</w:t>
      </w:r>
      <w:r>
        <w:rPr>
          <w:rFonts w:hint="eastAsia"/>
          <w:lang w:val="en-US" w:eastAsia="zh-CN"/>
        </w:rPr>
        <w:t>21</w:t>
      </w:r>
      <w:r>
        <w:rPr>
          <w:rFonts w:hint="eastAsia"/>
        </w:rPr>
        <w:t>年度部门决算表</w:t>
      </w:r>
    </w:p>
    <w:p>
      <w:pPr>
        <w:jc w:val="both"/>
        <w:rPr>
          <w:rFonts w:hint="eastAsia" w:ascii="黑体" w:hAnsi="黑体" w:eastAsia="黑体"/>
          <w:sz w:val="32"/>
          <w:szCs w:val="32"/>
        </w:rPr>
      </w:pPr>
      <w:r>
        <w:drawing>
          <wp:inline distT="0" distB="0" distL="114300" distR="114300">
            <wp:extent cx="6118860" cy="5928995"/>
            <wp:effectExtent l="0" t="0" r="15240" b="1460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9"/>
                    <a:stretch>
                      <a:fillRect/>
                    </a:stretch>
                  </pic:blipFill>
                  <pic:spPr>
                    <a:xfrm>
                      <a:off x="0" y="0"/>
                      <a:ext cx="6118860" cy="5928995"/>
                    </a:xfrm>
                    <a:prstGeom prst="rect">
                      <a:avLst/>
                    </a:prstGeom>
                    <a:noFill/>
                    <a:ln>
                      <a:noFill/>
                    </a:ln>
                  </pic:spPr>
                </pic:pic>
              </a:graphicData>
            </a:graphic>
          </wp:inline>
        </w:drawing>
      </w:r>
    </w:p>
    <w:p>
      <w:pPr>
        <w:rPr>
          <w:rFonts w:ascii="黑体" w:hAnsi="黑体" w:eastAsia="黑体"/>
          <w:sz w:val="32"/>
          <w:szCs w:val="32"/>
        </w:rPr>
      </w:pPr>
    </w:p>
    <w:p>
      <w:pPr>
        <w:rPr>
          <w:rFonts w:ascii="黑体" w:hAnsi="黑体" w:eastAsia="黑体"/>
          <w:sz w:val="32"/>
          <w:szCs w:val="32"/>
        </w:rPr>
      </w:pPr>
    </w:p>
    <w:p>
      <w:pPr>
        <w:rPr>
          <w:rFonts w:ascii="黑体" w:hAnsi="黑体" w:eastAsia="黑体"/>
          <w:sz w:val="32"/>
          <w:szCs w:val="32"/>
        </w:rPr>
      </w:pPr>
    </w:p>
    <w:p>
      <w:pPr>
        <w:rPr>
          <w:rFonts w:ascii="黑体" w:hAnsi="黑体" w:eastAsia="黑体"/>
          <w:sz w:val="32"/>
          <w:szCs w:val="32"/>
        </w:rPr>
      </w:pPr>
    </w:p>
    <w:p>
      <w:pPr>
        <w:rPr>
          <w:rFonts w:ascii="黑体" w:hAnsi="黑体" w:eastAsia="黑体"/>
          <w:sz w:val="32"/>
          <w:szCs w:val="32"/>
        </w:rPr>
      </w:pPr>
      <w:r>
        <w:drawing>
          <wp:inline distT="0" distB="0" distL="114300" distR="114300">
            <wp:extent cx="6115685" cy="7806055"/>
            <wp:effectExtent l="0" t="0" r="18415" b="444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6115685" cy="7806055"/>
                    </a:xfrm>
                    <a:prstGeom prst="rect">
                      <a:avLst/>
                    </a:prstGeom>
                    <a:noFill/>
                    <a:ln>
                      <a:noFill/>
                    </a:ln>
                  </pic:spPr>
                </pic:pic>
              </a:graphicData>
            </a:graphic>
          </wp:inline>
        </w:drawing>
      </w:r>
    </w:p>
    <w:p>
      <w:pPr>
        <w:rPr>
          <w:rFonts w:ascii="黑体" w:hAnsi="黑体" w:eastAsia="黑体"/>
          <w:sz w:val="32"/>
          <w:szCs w:val="32"/>
        </w:rPr>
      </w:pPr>
    </w:p>
    <w:p>
      <w:pPr>
        <w:rPr>
          <w:rFonts w:ascii="黑体" w:hAnsi="黑体" w:eastAsia="黑体"/>
          <w:sz w:val="32"/>
          <w:szCs w:val="32"/>
        </w:rPr>
      </w:pPr>
    </w:p>
    <w:p>
      <w:pPr>
        <w:rPr>
          <w:rFonts w:ascii="黑体" w:hAnsi="黑体" w:eastAsia="黑体"/>
          <w:sz w:val="32"/>
          <w:szCs w:val="32"/>
        </w:rPr>
      </w:pPr>
      <w:r>
        <w:drawing>
          <wp:inline distT="0" distB="0" distL="114300" distR="114300">
            <wp:extent cx="6118225" cy="7112635"/>
            <wp:effectExtent l="0" t="0" r="15875" b="1206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1"/>
                    <a:stretch>
                      <a:fillRect/>
                    </a:stretch>
                  </pic:blipFill>
                  <pic:spPr>
                    <a:xfrm>
                      <a:off x="0" y="0"/>
                      <a:ext cx="6118225" cy="7112635"/>
                    </a:xfrm>
                    <a:prstGeom prst="rect">
                      <a:avLst/>
                    </a:prstGeom>
                    <a:noFill/>
                    <a:ln>
                      <a:noFill/>
                    </a:ln>
                  </pic:spPr>
                </pic:pic>
              </a:graphicData>
            </a:graphic>
          </wp:inline>
        </w:drawing>
      </w:r>
    </w:p>
    <w:p>
      <w:pPr>
        <w:rPr>
          <w:rFonts w:ascii="黑体" w:hAnsi="黑体" w:eastAsia="黑体"/>
          <w:sz w:val="32"/>
          <w:szCs w:val="32"/>
        </w:rPr>
      </w:pPr>
    </w:p>
    <w:p>
      <w:pPr>
        <w:rPr>
          <w:rFonts w:ascii="黑体" w:hAnsi="黑体" w:eastAsia="黑体"/>
          <w:sz w:val="32"/>
          <w:szCs w:val="32"/>
        </w:rPr>
      </w:pPr>
    </w:p>
    <w:p>
      <w:pPr>
        <w:rPr>
          <w:rFonts w:ascii="黑体" w:hAnsi="黑体" w:eastAsia="黑体"/>
          <w:sz w:val="32"/>
          <w:szCs w:val="32"/>
        </w:rPr>
      </w:pPr>
    </w:p>
    <w:p/>
    <w:p>
      <w:r>
        <w:drawing>
          <wp:inline distT="0" distB="0" distL="114300" distR="114300">
            <wp:extent cx="6111240" cy="7707630"/>
            <wp:effectExtent l="0" t="0" r="3810" b="762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12"/>
                    <a:stretch>
                      <a:fillRect/>
                    </a:stretch>
                  </pic:blipFill>
                  <pic:spPr>
                    <a:xfrm>
                      <a:off x="0" y="0"/>
                      <a:ext cx="6111240" cy="7707630"/>
                    </a:xfrm>
                    <a:prstGeom prst="rect">
                      <a:avLst/>
                    </a:prstGeom>
                    <a:noFill/>
                    <a:ln>
                      <a:noFill/>
                    </a:ln>
                  </pic:spPr>
                </pic:pic>
              </a:graphicData>
            </a:graphic>
          </wp:inline>
        </w:drawing>
      </w:r>
    </w:p>
    <w:p>
      <w:pPr>
        <w:pStyle w:val="2"/>
      </w:pPr>
    </w:p>
    <w:p>
      <w:pPr>
        <w:pStyle w:val="2"/>
      </w:pPr>
      <w:r>
        <w:drawing>
          <wp:inline distT="0" distB="0" distL="114300" distR="114300">
            <wp:extent cx="5610225" cy="8063865"/>
            <wp:effectExtent l="0" t="0" r="9525" b="1333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3"/>
                    <a:stretch>
                      <a:fillRect/>
                    </a:stretch>
                  </pic:blipFill>
                  <pic:spPr>
                    <a:xfrm>
                      <a:off x="0" y="0"/>
                      <a:ext cx="5610225" cy="8063865"/>
                    </a:xfrm>
                    <a:prstGeom prst="rect">
                      <a:avLst/>
                    </a:prstGeom>
                    <a:noFill/>
                    <a:ln>
                      <a:noFill/>
                    </a:ln>
                  </pic:spPr>
                </pic:pic>
              </a:graphicData>
            </a:graphic>
          </wp:inline>
        </w:drawing>
      </w:r>
    </w:p>
    <w:p>
      <w:pPr>
        <w:pStyle w:val="2"/>
      </w:pPr>
    </w:p>
    <w:p>
      <w:pPr>
        <w:pStyle w:val="2"/>
      </w:pPr>
      <w:r>
        <w:drawing>
          <wp:inline distT="0" distB="0" distL="114300" distR="114300">
            <wp:extent cx="5903595" cy="4385310"/>
            <wp:effectExtent l="0" t="0" r="190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903595" cy="4385310"/>
                    </a:xfrm>
                    <a:prstGeom prst="rect">
                      <a:avLst/>
                    </a:prstGeom>
                    <a:noFill/>
                    <a:ln>
                      <a:noFill/>
                    </a:ln>
                  </pic:spPr>
                </pic:pic>
              </a:graphicData>
            </a:graphic>
          </wp:inline>
        </w:drawing>
      </w:r>
    </w:p>
    <w:p>
      <w:pPr>
        <w:pStyle w:val="2"/>
      </w:pPr>
      <w:r>
        <w:drawing>
          <wp:inline distT="0" distB="0" distL="114300" distR="114300">
            <wp:extent cx="5875020" cy="3269615"/>
            <wp:effectExtent l="0" t="0" r="11430" b="698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5875020" cy="3269615"/>
                    </a:xfrm>
                    <a:prstGeom prst="rect">
                      <a:avLst/>
                    </a:prstGeom>
                    <a:noFill/>
                    <a:ln>
                      <a:noFill/>
                    </a:ln>
                  </pic:spPr>
                </pic:pic>
              </a:graphicData>
            </a:graphic>
          </wp:inline>
        </w:drawing>
      </w:r>
    </w:p>
    <w:p>
      <w:pPr>
        <w:pStyle w:val="2"/>
      </w:pPr>
    </w:p>
    <w:p>
      <w:pPr>
        <w:pStyle w:val="2"/>
      </w:pPr>
    </w:p>
    <w:p>
      <w:pPr>
        <w:pStyle w:val="2"/>
      </w:pPr>
      <w:r>
        <w:drawing>
          <wp:inline distT="0" distB="0" distL="114300" distR="114300">
            <wp:extent cx="6114415" cy="5532120"/>
            <wp:effectExtent l="0" t="0" r="635" b="1143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16"/>
                    <a:stretch>
                      <a:fillRect/>
                    </a:stretch>
                  </pic:blipFill>
                  <pic:spPr>
                    <a:xfrm>
                      <a:off x="0" y="0"/>
                      <a:ext cx="6114415" cy="5532120"/>
                    </a:xfrm>
                    <a:prstGeom prst="rect">
                      <a:avLst/>
                    </a:prstGeom>
                    <a:noFill/>
                    <a:ln>
                      <a:noFill/>
                    </a:ln>
                  </pic:spPr>
                </pic:pic>
              </a:graphicData>
            </a:graphic>
          </wp:inline>
        </w:drawing>
      </w:r>
    </w:p>
    <w:p>
      <w:pPr>
        <w:pStyle w:val="2"/>
      </w:pPr>
    </w:p>
    <w:p/>
    <w:p/>
    <w:p>
      <w:pPr>
        <w:rPr>
          <w:rFonts w:ascii="黑体" w:hAnsi="黑体" w:eastAsia="黑体"/>
          <w:sz w:val="32"/>
          <w:szCs w:val="32"/>
        </w:rPr>
      </w:pPr>
    </w:p>
    <w:p>
      <w:pPr>
        <w:rPr>
          <w:rFonts w:ascii="黑体" w:hAnsi="黑体" w:eastAsia="黑体"/>
          <w:sz w:val="32"/>
          <w:szCs w:val="32"/>
        </w:rPr>
      </w:pPr>
    </w:p>
    <w:p>
      <w:pPr>
        <w:snapToGrid/>
        <w:spacing w:line="540" w:lineRule="exact"/>
        <w:rPr>
          <w:rFonts w:hint="eastAsia" w:ascii="黑体" w:hAnsi="黑体" w:eastAsia="黑体"/>
          <w:sz w:val="32"/>
          <w:szCs w:val="32"/>
          <w:lang w:eastAsia="zh-CN"/>
        </w:rPr>
      </w:pPr>
    </w:p>
    <w:p>
      <w:pPr>
        <w:pStyle w:val="2"/>
        <w:rPr>
          <w:rFonts w:hint="eastAsia" w:ascii="黑体" w:hAnsi="黑体" w:eastAsia="黑体"/>
          <w:sz w:val="32"/>
          <w:szCs w:val="32"/>
          <w:lang w:eastAsia="zh-CN"/>
        </w:rPr>
      </w:pPr>
      <w:r>
        <w:drawing>
          <wp:inline distT="0" distB="0" distL="114300" distR="114300">
            <wp:extent cx="6114415" cy="2299335"/>
            <wp:effectExtent l="0" t="0" r="635" b="571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7"/>
                    <a:stretch>
                      <a:fillRect/>
                    </a:stretch>
                  </pic:blipFill>
                  <pic:spPr>
                    <a:xfrm>
                      <a:off x="0" y="0"/>
                      <a:ext cx="6114415" cy="2299335"/>
                    </a:xfrm>
                    <a:prstGeom prst="rect">
                      <a:avLst/>
                    </a:prstGeom>
                    <a:noFill/>
                    <a:ln>
                      <a:noFill/>
                    </a:ln>
                  </pic:spPr>
                </pic:pic>
              </a:graphicData>
            </a:graphic>
          </wp:inline>
        </w:drawing>
      </w:r>
    </w:p>
    <w:p>
      <w:pPr>
        <w:pStyle w:val="2"/>
      </w:pPr>
      <w:r>
        <w:drawing>
          <wp:inline distT="0" distB="0" distL="114300" distR="114300">
            <wp:extent cx="6114415" cy="2571750"/>
            <wp:effectExtent l="0" t="0" r="635"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8"/>
                    <a:stretch>
                      <a:fillRect/>
                    </a:stretch>
                  </pic:blipFill>
                  <pic:spPr>
                    <a:xfrm>
                      <a:off x="0" y="0"/>
                      <a:ext cx="6114415" cy="2571750"/>
                    </a:xfrm>
                    <a:prstGeom prst="rect">
                      <a:avLst/>
                    </a:prstGeom>
                    <a:noFill/>
                    <a:ln>
                      <a:noFill/>
                    </a:ln>
                  </pic:spPr>
                </pic:pic>
              </a:graphicData>
            </a:graphic>
          </wp:inline>
        </w:drawing>
      </w:r>
    </w:p>
    <w:p>
      <w:pPr>
        <w:pStyle w:val="2"/>
      </w:pPr>
      <w:r>
        <w:drawing>
          <wp:inline distT="0" distB="0" distL="114300" distR="114300">
            <wp:extent cx="6154420" cy="2489200"/>
            <wp:effectExtent l="0" t="0" r="17780" b="635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9"/>
                    <a:stretch>
                      <a:fillRect/>
                    </a:stretch>
                  </pic:blipFill>
                  <pic:spPr>
                    <a:xfrm>
                      <a:off x="0" y="0"/>
                      <a:ext cx="6154420" cy="2489200"/>
                    </a:xfrm>
                    <a:prstGeom prst="rect">
                      <a:avLst/>
                    </a:prstGeom>
                    <a:noFill/>
                    <a:ln>
                      <a:noFill/>
                    </a:ln>
                  </pic:spPr>
                </pic:pic>
              </a:graphicData>
            </a:graphic>
          </wp:inline>
        </w:drawing>
      </w:r>
    </w:p>
    <w:p>
      <w:pPr>
        <w:pStyle w:val="2"/>
        <w:keepNext w:val="0"/>
        <w:keepLines w:val="0"/>
        <w:pageBreakBefore w:val="0"/>
        <w:widowControl/>
        <w:kinsoku/>
        <w:wordWrap/>
        <w:overflowPunct/>
        <w:topLinePunct w:val="0"/>
        <w:autoSpaceDE/>
        <w:autoSpaceDN/>
        <w:bidi w:val="0"/>
        <w:adjustRightInd w:val="0"/>
        <w:snapToGrid w:val="0"/>
        <w:spacing w:line="20" w:lineRule="exact"/>
        <w:ind w:left="0" w:leftChars="0" w:firstLine="0" w:firstLineChars="0"/>
        <w:textAlignment w:val="auto"/>
        <w:rPr>
          <w:rFonts w:hint="eastAsia" w:ascii="黑体" w:hAnsi="黑体" w:eastAsia="黑体"/>
          <w:sz w:val="32"/>
          <w:szCs w:val="32"/>
          <w:lang w:eastAsia="zh-CN"/>
        </w:rPr>
        <w:sectPr>
          <w:headerReference r:id="rId4" w:type="default"/>
          <w:footerReference r:id="rId5" w:type="default"/>
          <w:pgSz w:w="11906" w:h="16838"/>
          <w:pgMar w:top="1134" w:right="1134" w:bottom="1134" w:left="1134" w:header="851" w:footer="992" w:gutter="0"/>
          <w:pgNumType w:fmt="decimal"/>
          <w:cols w:space="720" w:num="1"/>
          <w:docGrid w:type="lines" w:linePitch="312" w:charSpace="0"/>
        </w:sectPr>
      </w:pPr>
    </w:p>
    <w:p>
      <w:pPr>
        <w:snapToGrid/>
        <w:spacing w:line="540" w:lineRule="exact"/>
        <w:jc w:val="both"/>
        <w:rPr>
          <w:rFonts w:hint="eastAsia" w:ascii="黑体" w:hAnsi="黑体" w:eastAsia="黑体"/>
          <w:b/>
          <w:bCs/>
          <w:sz w:val="32"/>
          <w:szCs w:val="32"/>
        </w:rPr>
      </w:pPr>
    </w:p>
    <w:p>
      <w:pPr>
        <w:snapToGrid/>
        <w:spacing w:line="540" w:lineRule="exact"/>
        <w:jc w:val="center"/>
        <w:rPr>
          <w:rFonts w:ascii="仿宋" w:hAnsi="仿宋" w:eastAsia="仿宋"/>
          <w:b/>
          <w:bCs/>
          <w:sz w:val="32"/>
          <w:szCs w:val="32"/>
        </w:rPr>
      </w:pPr>
      <w:r>
        <w:rPr>
          <w:rFonts w:hint="eastAsia" w:ascii="黑体" w:hAnsi="黑体" w:eastAsia="黑体"/>
          <w:b/>
          <w:bCs/>
          <w:sz w:val="32"/>
          <w:szCs w:val="32"/>
        </w:rPr>
        <w:t>第三部分  20</w:t>
      </w:r>
      <w:r>
        <w:rPr>
          <w:rFonts w:hint="eastAsia" w:ascii="黑体" w:hAnsi="黑体" w:eastAsia="黑体"/>
          <w:b/>
          <w:bCs/>
          <w:sz w:val="32"/>
          <w:szCs w:val="32"/>
          <w:lang w:val="en-US" w:eastAsia="zh-CN"/>
        </w:rPr>
        <w:t>21</w:t>
      </w:r>
      <w:r>
        <w:rPr>
          <w:rFonts w:hint="eastAsia" w:ascii="黑体" w:hAnsi="黑体" w:eastAsia="黑体"/>
          <w:b/>
          <w:bCs/>
          <w:sz w:val="32"/>
          <w:szCs w:val="32"/>
        </w:rPr>
        <w:t>年度部门决算情况说明</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一、收入决算情况说明</w:t>
      </w:r>
    </w:p>
    <w:p>
      <w:pPr>
        <w:snapToGrid/>
        <w:spacing w:line="54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rPr>
        <w:t>本部门20</w:t>
      </w:r>
      <w:r>
        <w:rPr>
          <w:rFonts w:hint="eastAsia" w:ascii="仿宋" w:hAnsi="仿宋" w:eastAsia="仿宋"/>
          <w:sz w:val="32"/>
          <w:szCs w:val="32"/>
          <w:lang w:val="en-US" w:eastAsia="zh-CN"/>
        </w:rPr>
        <w:t>21</w:t>
      </w:r>
      <w:r>
        <w:rPr>
          <w:rFonts w:hint="eastAsia" w:ascii="仿宋" w:hAnsi="仿宋" w:eastAsia="仿宋"/>
          <w:sz w:val="32"/>
          <w:szCs w:val="32"/>
        </w:rPr>
        <w:t>年度收入总计</w:t>
      </w:r>
      <w:r>
        <w:rPr>
          <w:rFonts w:hint="eastAsia" w:ascii="仿宋_GB2312" w:hAnsi="仿宋" w:eastAsia="仿宋_GB2312"/>
          <w:sz w:val="32"/>
          <w:szCs w:val="32"/>
          <w:lang w:val="en-US" w:eastAsia="zh-CN"/>
        </w:rPr>
        <w:t>16512.08</w:t>
      </w:r>
      <w:r>
        <w:rPr>
          <w:rFonts w:hint="eastAsia" w:ascii="仿宋" w:hAnsi="仿宋" w:eastAsia="仿宋"/>
          <w:sz w:val="32"/>
          <w:szCs w:val="32"/>
        </w:rPr>
        <w:t>万元，其中年初结转和结余</w:t>
      </w:r>
      <w:r>
        <w:rPr>
          <w:rFonts w:hint="eastAsia" w:ascii="仿宋" w:hAnsi="仿宋" w:eastAsia="仿宋"/>
          <w:sz w:val="32"/>
          <w:szCs w:val="32"/>
          <w:lang w:val="en-US" w:eastAsia="zh-CN"/>
        </w:rPr>
        <w:t>1213.45万元</w:t>
      </w:r>
      <w:r>
        <w:rPr>
          <w:rFonts w:hint="eastAsia" w:ascii="仿宋" w:hAnsi="仿宋" w:eastAsia="仿宋"/>
          <w:sz w:val="32"/>
          <w:szCs w:val="32"/>
        </w:rPr>
        <w:t>万元，较</w:t>
      </w:r>
      <w:r>
        <w:rPr>
          <w:rFonts w:hint="eastAsia" w:ascii="仿宋" w:hAnsi="仿宋" w:eastAsia="仿宋"/>
          <w:sz w:val="32"/>
          <w:szCs w:val="32"/>
          <w:lang w:val="en-US" w:eastAsia="zh-CN"/>
        </w:rPr>
        <w:t>2021</w:t>
      </w:r>
      <w:r>
        <w:rPr>
          <w:rFonts w:hint="eastAsia" w:ascii="仿宋" w:hAnsi="仿宋" w:eastAsia="仿宋"/>
          <w:sz w:val="32"/>
          <w:szCs w:val="32"/>
        </w:rPr>
        <w:t>年</w:t>
      </w:r>
      <w:r>
        <w:rPr>
          <w:rFonts w:hint="eastAsia" w:ascii="仿宋" w:hAnsi="仿宋" w:eastAsia="仿宋"/>
          <w:sz w:val="32"/>
          <w:szCs w:val="32"/>
          <w:lang w:eastAsia="zh-CN"/>
        </w:rPr>
        <w:t>增加</w:t>
      </w:r>
      <w:r>
        <w:rPr>
          <w:rFonts w:hint="eastAsia" w:ascii="仿宋" w:hAnsi="仿宋" w:eastAsia="仿宋"/>
          <w:sz w:val="32"/>
          <w:szCs w:val="32"/>
          <w:lang w:val="en-US" w:eastAsia="zh-CN"/>
        </w:rPr>
        <w:t>11475.08</w:t>
      </w:r>
      <w:r>
        <w:rPr>
          <w:rFonts w:hint="eastAsia" w:ascii="仿宋" w:hAnsi="仿宋" w:eastAsia="仿宋"/>
          <w:sz w:val="32"/>
          <w:szCs w:val="32"/>
        </w:rPr>
        <w:t>万元，</w:t>
      </w:r>
      <w:r>
        <w:rPr>
          <w:rFonts w:hint="eastAsia" w:ascii="仿宋" w:hAnsi="仿宋" w:eastAsia="仿宋"/>
          <w:sz w:val="32"/>
          <w:szCs w:val="32"/>
          <w:lang w:eastAsia="zh-CN"/>
        </w:rPr>
        <w:t>上升</w:t>
      </w:r>
      <w:r>
        <w:rPr>
          <w:rFonts w:hint="eastAsia" w:ascii="仿宋" w:hAnsi="仿宋" w:eastAsia="仿宋"/>
          <w:sz w:val="32"/>
          <w:szCs w:val="32"/>
          <w:lang w:val="en-US" w:eastAsia="zh-CN"/>
        </w:rPr>
        <w:t>228%</w:t>
      </w:r>
      <w:r>
        <w:rPr>
          <w:rFonts w:hint="eastAsia" w:ascii="仿宋" w:hAnsi="仿宋" w:eastAsia="仿宋"/>
          <w:sz w:val="32"/>
          <w:szCs w:val="32"/>
        </w:rPr>
        <w:t>；本年收入合计</w:t>
      </w:r>
      <w:r>
        <w:rPr>
          <w:rFonts w:hint="eastAsia" w:ascii="仿宋" w:hAnsi="仿宋" w:eastAsia="仿宋"/>
          <w:sz w:val="32"/>
          <w:szCs w:val="32"/>
          <w:lang w:val="en-US" w:eastAsia="zh-CN"/>
        </w:rPr>
        <w:t>17725.53</w:t>
      </w:r>
      <w:r>
        <w:rPr>
          <w:rFonts w:hint="eastAsia" w:ascii="仿宋" w:hAnsi="仿宋" w:eastAsia="仿宋"/>
          <w:sz w:val="32"/>
          <w:szCs w:val="32"/>
        </w:rPr>
        <w:t>万元，较</w:t>
      </w:r>
      <w:r>
        <w:rPr>
          <w:rFonts w:hint="eastAsia" w:ascii="仿宋" w:hAnsi="仿宋" w:eastAsia="仿宋"/>
          <w:sz w:val="32"/>
          <w:szCs w:val="32"/>
          <w:lang w:val="en-US" w:eastAsia="zh-CN"/>
        </w:rPr>
        <w:t>2020</w:t>
      </w:r>
      <w:r>
        <w:rPr>
          <w:rFonts w:hint="eastAsia" w:ascii="仿宋" w:hAnsi="仿宋" w:eastAsia="仿宋"/>
          <w:sz w:val="32"/>
          <w:szCs w:val="32"/>
        </w:rPr>
        <w:t>年</w:t>
      </w:r>
      <w:r>
        <w:rPr>
          <w:rFonts w:hint="eastAsia" w:ascii="仿宋" w:hAnsi="仿宋" w:eastAsia="仿宋"/>
          <w:sz w:val="32"/>
          <w:szCs w:val="32"/>
          <w:lang w:eastAsia="zh-CN"/>
        </w:rPr>
        <w:t>增加</w:t>
      </w:r>
      <w:r>
        <w:rPr>
          <w:rFonts w:hint="eastAsia" w:ascii="仿宋" w:hAnsi="仿宋" w:eastAsia="仿宋"/>
          <w:sz w:val="32"/>
          <w:szCs w:val="32"/>
          <w:lang w:val="en-US" w:eastAsia="zh-CN"/>
        </w:rPr>
        <w:t>12688.53</w:t>
      </w:r>
      <w:r>
        <w:rPr>
          <w:rFonts w:hint="eastAsia" w:ascii="仿宋" w:hAnsi="仿宋" w:eastAsia="仿宋"/>
          <w:sz w:val="32"/>
          <w:szCs w:val="32"/>
        </w:rPr>
        <w:t>万元，</w:t>
      </w:r>
      <w:r>
        <w:rPr>
          <w:rFonts w:hint="eastAsia" w:ascii="仿宋" w:hAnsi="仿宋" w:eastAsia="仿宋"/>
          <w:sz w:val="32"/>
          <w:szCs w:val="32"/>
          <w:lang w:eastAsia="zh-CN"/>
        </w:rPr>
        <w:t>增加</w:t>
      </w:r>
      <w:r>
        <w:rPr>
          <w:rFonts w:hint="eastAsia" w:ascii="仿宋" w:hAnsi="仿宋" w:eastAsia="仿宋"/>
          <w:sz w:val="32"/>
          <w:szCs w:val="32"/>
          <w:lang w:val="en-US" w:eastAsia="zh-CN"/>
        </w:rPr>
        <w:t>251.9</w:t>
      </w:r>
      <w:r>
        <w:rPr>
          <w:rFonts w:hint="eastAsia" w:ascii="仿宋" w:hAnsi="仿宋" w:eastAsia="仿宋"/>
          <w:sz w:val="32"/>
          <w:szCs w:val="32"/>
        </w:rPr>
        <w:t>%，主要原因是：</w:t>
      </w:r>
      <w:r>
        <w:rPr>
          <w:rFonts w:hint="eastAsia" w:ascii="仿宋" w:hAnsi="仿宋" w:eastAsia="仿宋"/>
          <w:sz w:val="32"/>
          <w:szCs w:val="32"/>
          <w:lang w:val="en-US" w:eastAsia="zh-CN"/>
        </w:rPr>
        <w:t>1、</w:t>
      </w:r>
      <w:r>
        <w:rPr>
          <w:rFonts w:hint="eastAsia" w:ascii="仿宋" w:hAnsi="仿宋" w:eastAsia="仿宋"/>
          <w:sz w:val="32"/>
          <w:szCs w:val="32"/>
          <w:lang w:eastAsia="zh-CN"/>
        </w:rPr>
        <w:t>专项资金变更了拨付流程，由财政直接拨付变更为各部门</w:t>
      </w:r>
      <w:r>
        <w:rPr>
          <w:rFonts w:hint="eastAsia" w:ascii="仿宋" w:hAnsi="仿宋" w:eastAsia="仿宋"/>
          <w:sz w:val="32"/>
          <w:szCs w:val="32"/>
          <w:lang w:val="en-US" w:eastAsia="zh-CN"/>
        </w:rPr>
        <w:t>自主</w:t>
      </w:r>
      <w:r>
        <w:rPr>
          <w:rFonts w:hint="eastAsia" w:ascii="仿宋" w:hAnsi="仿宋" w:eastAsia="仿宋"/>
          <w:sz w:val="32"/>
          <w:szCs w:val="32"/>
          <w:lang w:eastAsia="zh-CN"/>
        </w:rPr>
        <w:t>兑付；</w:t>
      </w:r>
      <w:r>
        <w:rPr>
          <w:rFonts w:hint="eastAsia" w:ascii="仿宋" w:hAnsi="仿宋" w:eastAsia="仿宋"/>
          <w:sz w:val="32"/>
          <w:szCs w:val="32"/>
          <w:lang w:val="en-US" w:eastAsia="zh-CN"/>
        </w:rPr>
        <w:t>2、增加了商贸职能。3、加大了惠企资金拨付力度。</w:t>
      </w:r>
    </w:p>
    <w:p>
      <w:pPr>
        <w:snapToGrid/>
        <w:spacing w:line="54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本年收入的具体构成为：财政拨款收入</w:t>
      </w:r>
      <w:r>
        <w:rPr>
          <w:rFonts w:hint="eastAsia" w:ascii="仿宋" w:hAnsi="仿宋" w:eastAsia="仿宋"/>
          <w:sz w:val="32"/>
          <w:szCs w:val="32"/>
          <w:lang w:val="en-US" w:eastAsia="zh-CN"/>
        </w:rPr>
        <w:t>17725.53</w:t>
      </w:r>
      <w:r>
        <w:rPr>
          <w:rFonts w:hint="eastAsia" w:ascii="仿宋" w:hAnsi="仿宋" w:eastAsia="仿宋"/>
          <w:sz w:val="32"/>
          <w:szCs w:val="32"/>
        </w:rPr>
        <w:t>万元，占</w:t>
      </w:r>
      <w:r>
        <w:rPr>
          <w:rFonts w:hint="eastAsia" w:ascii="仿宋" w:hAnsi="仿宋" w:eastAsia="仿宋"/>
          <w:sz w:val="32"/>
          <w:szCs w:val="32"/>
          <w:lang w:val="en-US" w:eastAsia="zh-CN"/>
        </w:rPr>
        <w:t>100</w:t>
      </w:r>
      <w:r>
        <w:rPr>
          <w:rFonts w:hint="eastAsia"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lang w:val="en-US" w:eastAsia="zh-CN"/>
        </w:rPr>
        <w:t>无事业单位收入和其他收入。</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二、支出决算情况说明</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本部门</w:t>
      </w:r>
      <w:r>
        <w:rPr>
          <w:rFonts w:hint="eastAsia" w:ascii="仿宋" w:hAnsi="仿宋" w:eastAsia="仿宋"/>
          <w:sz w:val="32"/>
          <w:szCs w:val="32"/>
          <w:lang w:val="en-US" w:eastAsia="zh-CN"/>
        </w:rPr>
        <w:t>2021</w:t>
      </w:r>
      <w:r>
        <w:rPr>
          <w:rFonts w:hint="eastAsia" w:ascii="仿宋" w:hAnsi="仿宋" w:eastAsia="仿宋"/>
          <w:sz w:val="32"/>
          <w:szCs w:val="32"/>
        </w:rPr>
        <w:t>年度支出总计</w:t>
      </w:r>
      <w:r>
        <w:rPr>
          <w:rFonts w:hint="eastAsia" w:ascii="仿宋" w:hAnsi="仿宋" w:eastAsia="仿宋"/>
          <w:sz w:val="32"/>
          <w:szCs w:val="32"/>
          <w:lang w:val="en-US" w:eastAsia="zh-CN"/>
        </w:rPr>
        <w:t>17725.53</w:t>
      </w:r>
      <w:r>
        <w:rPr>
          <w:rFonts w:hint="eastAsia" w:ascii="仿宋" w:hAnsi="仿宋" w:eastAsia="仿宋"/>
          <w:sz w:val="32"/>
          <w:szCs w:val="32"/>
        </w:rPr>
        <w:t>万元，其中本年支出合计</w:t>
      </w:r>
      <w:r>
        <w:rPr>
          <w:rFonts w:hint="eastAsia" w:ascii="仿宋" w:hAnsi="仿宋" w:eastAsia="仿宋"/>
          <w:sz w:val="32"/>
          <w:szCs w:val="32"/>
          <w:lang w:val="en-US" w:eastAsia="zh-CN"/>
        </w:rPr>
        <w:t>17725.53</w:t>
      </w:r>
      <w:r>
        <w:rPr>
          <w:rFonts w:hint="eastAsia" w:ascii="仿宋" w:hAnsi="仿宋" w:eastAsia="仿宋"/>
          <w:sz w:val="32"/>
          <w:szCs w:val="32"/>
        </w:rPr>
        <w:t>万元，较20</w:t>
      </w:r>
      <w:r>
        <w:rPr>
          <w:rFonts w:hint="eastAsia" w:ascii="仿宋" w:hAnsi="仿宋" w:eastAsia="仿宋"/>
          <w:sz w:val="32"/>
          <w:szCs w:val="32"/>
          <w:lang w:val="en-US" w:eastAsia="zh-CN"/>
        </w:rPr>
        <w:t>20</w:t>
      </w:r>
      <w:r>
        <w:rPr>
          <w:rFonts w:hint="eastAsia" w:ascii="仿宋" w:hAnsi="仿宋" w:eastAsia="仿宋"/>
          <w:sz w:val="32"/>
          <w:szCs w:val="32"/>
        </w:rPr>
        <w:t>年</w:t>
      </w:r>
      <w:r>
        <w:rPr>
          <w:rFonts w:hint="eastAsia" w:ascii="仿宋" w:hAnsi="仿宋" w:eastAsia="仿宋"/>
          <w:sz w:val="32"/>
          <w:szCs w:val="32"/>
          <w:lang w:eastAsia="zh-CN"/>
        </w:rPr>
        <w:t>增加</w:t>
      </w:r>
      <w:r>
        <w:rPr>
          <w:rFonts w:hint="eastAsia" w:ascii="仿宋" w:hAnsi="仿宋" w:eastAsia="仿宋"/>
          <w:sz w:val="32"/>
          <w:szCs w:val="32"/>
          <w:lang w:val="en-US" w:eastAsia="zh-CN"/>
        </w:rPr>
        <w:t>12688.53</w:t>
      </w:r>
      <w:r>
        <w:rPr>
          <w:rFonts w:hint="eastAsia" w:ascii="仿宋" w:hAnsi="仿宋" w:eastAsia="仿宋"/>
          <w:sz w:val="32"/>
          <w:szCs w:val="32"/>
        </w:rPr>
        <w:t>万元，</w:t>
      </w:r>
      <w:r>
        <w:rPr>
          <w:rFonts w:hint="eastAsia" w:ascii="仿宋" w:hAnsi="仿宋" w:eastAsia="仿宋"/>
          <w:sz w:val="32"/>
          <w:szCs w:val="32"/>
          <w:lang w:eastAsia="zh-CN"/>
        </w:rPr>
        <w:t>增加</w:t>
      </w:r>
      <w:r>
        <w:rPr>
          <w:rFonts w:hint="eastAsia" w:ascii="仿宋" w:hAnsi="仿宋" w:eastAsia="仿宋"/>
          <w:sz w:val="32"/>
          <w:szCs w:val="32"/>
          <w:lang w:val="en-US" w:eastAsia="zh-CN"/>
        </w:rPr>
        <w:t>251.9</w:t>
      </w:r>
      <w:r>
        <w:rPr>
          <w:rFonts w:hint="eastAsia"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rPr>
        <w:t>主要原因是：</w:t>
      </w:r>
      <w:r>
        <w:rPr>
          <w:rFonts w:hint="eastAsia" w:ascii="仿宋" w:hAnsi="仿宋" w:eastAsia="仿宋"/>
          <w:sz w:val="32"/>
          <w:szCs w:val="32"/>
          <w:lang w:val="en-US" w:eastAsia="zh-CN"/>
        </w:rPr>
        <w:t>1、</w:t>
      </w:r>
      <w:r>
        <w:rPr>
          <w:rFonts w:hint="eastAsia" w:ascii="仿宋" w:hAnsi="仿宋" w:eastAsia="仿宋"/>
          <w:sz w:val="32"/>
          <w:szCs w:val="32"/>
          <w:lang w:eastAsia="zh-CN"/>
        </w:rPr>
        <w:t>专项资金变更了拨付流程，由财政直接拨付变更为各部门兑付；</w:t>
      </w:r>
      <w:r>
        <w:rPr>
          <w:rFonts w:hint="eastAsia" w:ascii="仿宋" w:hAnsi="仿宋" w:eastAsia="仿宋"/>
          <w:sz w:val="32"/>
          <w:szCs w:val="32"/>
          <w:lang w:val="en-US" w:eastAsia="zh-CN"/>
        </w:rPr>
        <w:t xml:space="preserve">2、增加了商贸职能。3、加大了惠企资金拨付力度。 </w:t>
      </w:r>
    </w:p>
    <w:p>
      <w:pPr>
        <w:snapToGrid/>
        <w:spacing w:line="540" w:lineRule="exact"/>
        <w:ind w:firstLine="640" w:firstLineChars="200"/>
        <w:rPr>
          <w:rFonts w:hint="default" w:ascii="仿宋" w:hAnsi="仿宋" w:eastAsia="仿宋"/>
          <w:color w:val="FF0000"/>
          <w:sz w:val="32"/>
          <w:szCs w:val="32"/>
          <w:u w:val="none"/>
          <w:lang w:val="en-US" w:eastAsia="zh-CN"/>
        </w:rPr>
      </w:pPr>
      <w:r>
        <w:rPr>
          <w:rFonts w:hint="eastAsia" w:ascii="仿宋" w:hAnsi="仿宋" w:eastAsia="仿宋"/>
          <w:sz w:val="32"/>
          <w:szCs w:val="32"/>
        </w:rPr>
        <w:t>本年支出的具体构成为：</w:t>
      </w:r>
      <w:r>
        <w:rPr>
          <w:rFonts w:hint="eastAsia" w:ascii="仿宋" w:hAnsi="仿宋" w:eastAsia="仿宋"/>
          <w:sz w:val="32"/>
          <w:szCs w:val="32"/>
          <w:lang w:val="en-US" w:eastAsia="zh-CN"/>
        </w:rPr>
        <w:t>基本支出656.48万元，占3.7%；项目支出17069.05万元，占96.3%，其他支出（对附属单位补助支出、上缴上级支出）0万元，占比0%。</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三、财政拨款支出决算情况说明</w:t>
      </w:r>
    </w:p>
    <w:p>
      <w:pPr>
        <w:snapToGrid/>
        <w:spacing w:line="540" w:lineRule="exact"/>
        <w:ind w:firstLine="640" w:firstLineChars="200"/>
        <w:rPr>
          <w:rFonts w:hint="eastAsia" w:ascii="仿宋" w:hAnsi="仿宋" w:eastAsia="仿宋"/>
          <w:sz w:val="32"/>
          <w:szCs w:val="32"/>
        </w:rPr>
      </w:pPr>
      <w:r>
        <w:rPr>
          <w:rFonts w:hint="eastAsia" w:ascii="仿宋" w:hAnsi="仿宋" w:eastAsia="仿宋"/>
          <w:sz w:val="32"/>
          <w:szCs w:val="32"/>
        </w:rPr>
        <w:t>本部门</w:t>
      </w:r>
      <w:r>
        <w:rPr>
          <w:rFonts w:hint="eastAsia" w:ascii="仿宋" w:hAnsi="仿宋" w:eastAsia="仿宋"/>
          <w:sz w:val="32"/>
          <w:szCs w:val="32"/>
          <w:lang w:val="en-US" w:eastAsia="zh-CN"/>
        </w:rPr>
        <w:t>2021</w:t>
      </w:r>
      <w:r>
        <w:rPr>
          <w:rFonts w:hint="eastAsia" w:ascii="仿宋" w:hAnsi="仿宋" w:eastAsia="仿宋"/>
          <w:sz w:val="32"/>
          <w:szCs w:val="32"/>
        </w:rPr>
        <w:t>年度财政拨款本年支出决算数为</w:t>
      </w:r>
      <w:r>
        <w:rPr>
          <w:rFonts w:hint="eastAsia" w:ascii="仿宋" w:hAnsi="仿宋" w:eastAsia="仿宋"/>
          <w:sz w:val="32"/>
          <w:szCs w:val="32"/>
          <w:lang w:val="en-US" w:eastAsia="zh-CN"/>
        </w:rPr>
        <w:t>17725.53</w:t>
      </w:r>
      <w:r>
        <w:rPr>
          <w:rFonts w:hint="eastAsia" w:ascii="仿宋" w:hAnsi="仿宋" w:eastAsia="仿宋"/>
          <w:sz w:val="32"/>
          <w:szCs w:val="32"/>
        </w:rPr>
        <w:t>万元。其中：</w:t>
      </w:r>
    </w:p>
    <w:p>
      <w:pPr>
        <w:numPr>
          <w:ilvl w:val="0"/>
          <w:numId w:val="0"/>
        </w:numPr>
        <w:snapToGrid/>
        <w:spacing w:line="54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一</w:t>
      </w:r>
      <w:r>
        <w:rPr>
          <w:rFonts w:hint="eastAsia" w:ascii="仿宋" w:hAnsi="仿宋" w:eastAsia="仿宋"/>
          <w:sz w:val="32"/>
          <w:szCs w:val="32"/>
          <w:lang w:eastAsia="zh-CN"/>
        </w:rPr>
        <w:t>）</w:t>
      </w:r>
      <w:r>
        <w:rPr>
          <w:rFonts w:hint="eastAsia" w:ascii="仿宋" w:hAnsi="仿宋" w:eastAsia="仿宋"/>
          <w:sz w:val="32"/>
          <w:szCs w:val="32"/>
        </w:rPr>
        <w:t>一般公共服务支出决算数为</w:t>
      </w:r>
      <w:r>
        <w:rPr>
          <w:rFonts w:hint="eastAsia" w:ascii="仿宋" w:hAnsi="仿宋" w:eastAsia="仿宋"/>
          <w:sz w:val="32"/>
          <w:szCs w:val="32"/>
          <w:lang w:val="en-US" w:eastAsia="zh-CN"/>
        </w:rPr>
        <w:t>674.44</w:t>
      </w:r>
      <w:r>
        <w:rPr>
          <w:rFonts w:hint="eastAsia" w:ascii="仿宋" w:hAnsi="仿宋" w:eastAsia="仿宋"/>
          <w:sz w:val="32"/>
          <w:szCs w:val="32"/>
        </w:rPr>
        <w:t>万元，</w:t>
      </w:r>
      <w:r>
        <w:rPr>
          <w:rFonts w:hint="eastAsia" w:ascii="仿宋" w:hAnsi="仿宋" w:eastAsia="仿宋"/>
          <w:sz w:val="32"/>
          <w:szCs w:val="32"/>
          <w:lang w:val="en-US" w:eastAsia="zh-CN"/>
        </w:rPr>
        <w:t>较2020年减少495.29万元。</w:t>
      </w:r>
    </w:p>
    <w:p>
      <w:pPr>
        <w:numPr>
          <w:ilvl w:val="0"/>
          <w:numId w:val="0"/>
        </w:numPr>
        <w:snapToGrid/>
        <w:spacing w:line="54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二</w:t>
      </w:r>
      <w:r>
        <w:rPr>
          <w:rFonts w:hint="eastAsia" w:ascii="仿宋" w:hAnsi="仿宋" w:eastAsia="仿宋"/>
          <w:sz w:val="32"/>
          <w:szCs w:val="32"/>
          <w:lang w:eastAsia="zh-CN"/>
        </w:rPr>
        <w:t>）</w:t>
      </w:r>
      <w:r>
        <w:rPr>
          <w:rFonts w:hint="eastAsia" w:ascii="仿宋" w:hAnsi="仿宋" w:eastAsia="仿宋"/>
          <w:sz w:val="32"/>
          <w:szCs w:val="32"/>
        </w:rPr>
        <w:t>社会保障和就业支出决算数为</w:t>
      </w:r>
      <w:r>
        <w:rPr>
          <w:rFonts w:hint="eastAsia" w:ascii="仿宋" w:hAnsi="仿宋" w:eastAsia="仿宋"/>
          <w:sz w:val="32"/>
          <w:szCs w:val="32"/>
          <w:lang w:val="en-US" w:eastAsia="zh-CN"/>
        </w:rPr>
        <w:t>31.08</w:t>
      </w:r>
      <w:r>
        <w:rPr>
          <w:rFonts w:hint="eastAsia" w:ascii="仿宋" w:hAnsi="仿宋" w:eastAsia="仿宋"/>
          <w:sz w:val="32"/>
          <w:szCs w:val="32"/>
        </w:rPr>
        <w:t>万元，</w:t>
      </w:r>
      <w:r>
        <w:rPr>
          <w:rFonts w:hint="eastAsia" w:ascii="仿宋" w:hAnsi="仿宋" w:eastAsia="仿宋"/>
          <w:sz w:val="32"/>
          <w:szCs w:val="32"/>
          <w:lang w:val="en-US" w:eastAsia="zh-CN"/>
        </w:rPr>
        <w:t>与上年基本持平。</w:t>
      </w:r>
    </w:p>
    <w:p>
      <w:pPr>
        <w:numPr>
          <w:ilvl w:val="0"/>
          <w:numId w:val="0"/>
        </w:numPr>
        <w:snapToGrid/>
        <w:spacing w:line="540" w:lineRule="exact"/>
        <w:ind w:firstLine="640" w:firstLineChars="200"/>
        <w:rPr>
          <w:rFonts w:hint="default"/>
          <w:lang w:val="en-US" w:eastAsia="zh-CN"/>
        </w:rPr>
      </w:pPr>
      <w:r>
        <w:rPr>
          <w:rFonts w:hint="eastAsia" w:ascii="仿宋" w:hAnsi="仿宋" w:eastAsia="仿宋"/>
          <w:sz w:val="32"/>
          <w:szCs w:val="32"/>
          <w:lang w:val="en-US" w:eastAsia="zh-CN"/>
        </w:rPr>
        <w:t>（三）卫生健康</w:t>
      </w:r>
      <w:r>
        <w:rPr>
          <w:rFonts w:hint="eastAsia" w:ascii="仿宋" w:hAnsi="仿宋" w:eastAsia="仿宋"/>
          <w:sz w:val="32"/>
          <w:szCs w:val="32"/>
        </w:rPr>
        <w:t>支出决算数为</w:t>
      </w:r>
      <w:r>
        <w:rPr>
          <w:rFonts w:hint="eastAsia" w:ascii="仿宋" w:hAnsi="仿宋" w:eastAsia="仿宋"/>
          <w:sz w:val="32"/>
          <w:szCs w:val="32"/>
          <w:lang w:val="en-US" w:eastAsia="zh-CN"/>
        </w:rPr>
        <w:t>14.88</w:t>
      </w:r>
      <w:r>
        <w:rPr>
          <w:rFonts w:hint="eastAsia" w:ascii="仿宋" w:hAnsi="仿宋" w:eastAsia="仿宋"/>
          <w:sz w:val="32"/>
          <w:szCs w:val="32"/>
        </w:rPr>
        <w:t>万元，</w:t>
      </w:r>
      <w:r>
        <w:rPr>
          <w:rFonts w:hint="eastAsia" w:ascii="仿宋" w:hAnsi="仿宋" w:eastAsia="仿宋"/>
          <w:sz w:val="32"/>
          <w:szCs w:val="32"/>
          <w:lang w:val="en-US" w:eastAsia="zh-CN"/>
        </w:rPr>
        <w:t>与上年基本持平。</w:t>
      </w:r>
    </w:p>
    <w:p>
      <w:pPr>
        <w:pStyle w:val="2"/>
        <w:rPr>
          <w:rFonts w:hint="eastAsia" w:ascii="仿宋" w:hAnsi="仿宋" w:eastAsia="仿宋"/>
          <w:sz w:val="32"/>
          <w:szCs w:val="32"/>
          <w:lang w:val="en-US" w:eastAsia="zh-CN"/>
        </w:rPr>
      </w:pPr>
      <w:r>
        <w:rPr>
          <w:rFonts w:hint="eastAsia" w:ascii="仿宋" w:hAnsi="仿宋" w:eastAsia="仿宋"/>
          <w:sz w:val="32"/>
          <w:szCs w:val="32"/>
          <w:lang w:val="en-US" w:eastAsia="zh-CN"/>
        </w:rPr>
        <w:t>（四）住房保障支出决算数为35.04万，与上年基本持平。</w:t>
      </w:r>
    </w:p>
    <w:p>
      <w:pPr>
        <w:pStyle w:val="2"/>
        <w:rPr>
          <w:rFonts w:hint="eastAsia" w:ascii="仿宋" w:hAnsi="仿宋" w:eastAsia="仿宋"/>
          <w:sz w:val="32"/>
          <w:szCs w:val="32"/>
          <w:lang w:val="en-US" w:eastAsia="zh-CN"/>
        </w:rPr>
      </w:pPr>
      <w:r>
        <w:rPr>
          <w:rFonts w:hint="eastAsia" w:ascii="仿宋" w:hAnsi="仿宋" w:eastAsia="仿宋"/>
          <w:sz w:val="32"/>
          <w:szCs w:val="32"/>
          <w:lang w:val="en-US" w:eastAsia="zh-CN"/>
        </w:rPr>
        <w:t>（五）</w:t>
      </w:r>
      <w:r>
        <w:rPr>
          <w:rFonts w:hint="eastAsia" w:ascii="仿宋" w:hAnsi="仿宋" w:eastAsia="仿宋"/>
          <w:sz w:val="32"/>
          <w:szCs w:val="32"/>
          <w:lang w:eastAsia="zh-CN"/>
        </w:rPr>
        <w:t>资源勘探工业信息等支出</w:t>
      </w:r>
      <w:r>
        <w:rPr>
          <w:rFonts w:hint="eastAsia" w:ascii="仿宋" w:hAnsi="仿宋" w:eastAsia="仿宋"/>
          <w:sz w:val="32"/>
          <w:szCs w:val="32"/>
          <w:lang w:val="en-US" w:eastAsia="zh-CN"/>
        </w:rPr>
        <w:t>决算数为14340.78万元，较2020年增加12423.78万元，主要原因是机构改革，专项资金支付流程由财政直接支付变更为各单位自主兑付。</w:t>
      </w:r>
    </w:p>
    <w:p>
      <w:pPr>
        <w:pStyle w:val="2"/>
        <w:rPr>
          <w:rFonts w:hint="default" w:ascii="仿宋" w:hAnsi="仿宋" w:eastAsia="仿宋"/>
          <w:sz w:val="32"/>
          <w:szCs w:val="32"/>
          <w:lang w:val="en-US" w:eastAsia="zh-CN"/>
        </w:rPr>
      </w:pPr>
      <w:r>
        <w:rPr>
          <w:rFonts w:hint="eastAsia" w:ascii="仿宋" w:hAnsi="仿宋" w:eastAsia="仿宋"/>
          <w:sz w:val="32"/>
          <w:szCs w:val="32"/>
          <w:lang w:val="en-US" w:eastAsia="zh-CN"/>
        </w:rPr>
        <w:t>（六）</w:t>
      </w:r>
      <w:r>
        <w:rPr>
          <w:rFonts w:hint="eastAsia" w:ascii="仿宋" w:hAnsi="仿宋" w:eastAsia="仿宋"/>
          <w:sz w:val="32"/>
          <w:szCs w:val="32"/>
        </w:rPr>
        <w:t>商业服务业等支出决算数为</w:t>
      </w:r>
      <w:r>
        <w:rPr>
          <w:rFonts w:hint="eastAsia" w:ascii="仿宋" w:hAnsi="仿宋" w:eastAsia="仿宋"/>
          <w:sz w:val="32"/>
          <w:szCs w:val="32"/>
          <w:lang w:val="en-US" w:eastAsia="zh-CN"/>
        </w:rPr>
        <w:t>2629.31万</w:t>
      </w:r>
      <w:r>
        <w:rPr>
          <w:rFonts w:hint="eastAsia" w:ascii="仿宋" w:hAnsi="仿宋" w:eastAsia="仿宋"/>
          <w:sz w:val="32"/>
          <w:szCs w:val="32"/>
        </w:rPr>
        <w:t>元</w:t>
      </w:r>
      <w:r>
        <w:rPr>
          <w:rFonts w:hint="eastAsia" w:ascii="仿宋" w:hAnsi="仿宋" w:eastAsia="仿宋"/>
          <w:sz w:val="32"/>
          <w:szCs w:val="32"/>
          <w:lang w:eastAsia="zh-CN"/>
        </w:rPr>
        <w:t>，</w:t>
      </w:r>
      <w:r>
        <w:rPr>
          <w:rFonts w:hint="eastAsia" w:ascii="仿宋" w:hAnsi="仿宋" w:eastAsia="仿宋"/>
          <w:sz w:val="32"/>
          <w:szCs w:val="32"/>
          <w:lang w:val="en-US" w:eastAsia="zh-CN"/>
        </w:rPr>
        <w:t>较2020年增加2213.31万元，主要原因是机构改革，增加了商贸职能且专项资金支付流程由财政直接支付变更为各单位自主兑付。</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四、一般公共预算财政拨款基本支出决算情况说明</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本部门</w:t>
      </w:r>
      <w:r>
        <w:rPr>
          <w:rFonts w:hint="eastAsia" w:ascii="仿宋" w:hAnsi="仿宋" w:eastAsia="仿宋"/>
          <w:sz w:val="32"/>
          <w:szCs w:val="32"/>
          <w:lang w:val="en-US" w:eastAsia="zh-CN"/>
        </w:rPr>
        <w:t>2021</w:t>
      </w:r>
      <w:r>
        <w:rPr>
          <w:rFonts w:hint="eastAsia" w:ascii="仿宋" w:hAnsi="仿宋" w:eastAsia="仿宋"/>
          <w:sz w:val="32"/>
          <w:szCs w:val="32"/>
        </w:rPr>
        <w:t>年度一般公共预算财政拨款基本支出</w:t>
      </w:r>
      <w:r>
        <w:rPr>
          <w:rFonts w:hint="eastAsia" w:ascii="仿宋" w:hAnsi="仿宋" w:eastAsia="仿宋"/>
          <w:sz w:val="32"/>
          <w:szCs w:val="32"/>
          <w:lang w:val="en-US" w:eastAsia="zh-CN"/>
        </w:rPr>
        <w:t>656.48</w:t>
      </w:r>
      <w:r>
        <w:rPr>
          <w:rFonts w:hint="eastAsia" w:ascii="仿宋" w:hAnsi="仿宋" w:eastAsia="仿宋"/>
          <w:sz w:val="32"/>
          <w:szCs w:val="32"/>
        </w:rPr>
        <w:t>万元，</w:t>
      </w:r>
      <w:r>
        <w:rPr>
          <w:rFonts w:hint="eastAsia" w:ascii="仿宋" w:hAnsi="仿宋" w:eastAsia="仿宋"/>
          <w:sz w:val="32"/>
          <w:szCs w:val="32"/>
          <w:lang w:val="en-US" w:eastAsia="zh-CN"/>
        </w:rPr>
        <w:t>因部分预算科目调整，故商品和服务支出比上年大幅下降。</w:t>
      </w:r>
      <w:r>
        <w:rPr>
          <w:rFonts w:hint="eastAsia" w:ascii="仿宋" w:hAnsi="仿宋" w:eastAsia="仿宋"/>
          <w:sz w:val="32"/>
          <w:szCs w:val="32"/>
        </w:rPr>
        <w:t>其中：</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（一）工资福利支出</w:t>
      </w:r>
      <w:r>
        <w:rPr>
          <w:rFonts w:hint="eastAsia" w:ascii="仿宋" w:hAnsi="仿宋" w:eastAsia="仿宋"/>
          <w:sz w:val="32"/>
          <w:szCs w:val="32"/>
          <w:lang w:val="en-US" w:eastAsia="zh-CN"/>
        </w:rPr>
        <w:t>527.25</w:t>
      </w:r>
      <w:r>
        <w:rPr>
          <w:rFonts w:hint="eastAsia" w:ascii="仿宋" w:hAnsi="仿宋" w:eastAsia="仿宋"/>
          <w:sz w:val="32"/>
          <w:szCs w:val="32"/>
        </w:rPr>
        <w:t>万元，较</w:t>
      </w:r>
      <w:r>
        <w:rPr>
          <w:rFonts w:hint="eastAsia" w:ascii="仿宋" w:hAnsi="仿宋" w:eastAsia="仿宋"/>
          <w:sz w:val="32"/>
          <w:szCs w:val="32"/>
          <w:lang w:val="en-US" w:eastAsia="zh-CN"/>
        </w:rPr>
        <w:t>2020</w:t>
      </w:r>
      <w:r>
        <w:rPr>
          <w:rFonts w:hint="eastAsia" w:ascii="仿宋" w:hAnsi="仿宋" w:eastAsia="仿宋"/>
          <w:sz w:val="32"/>
          <w:szCs w:val="32"/>
        </w:rPr>
        <w:t>年</w:t>
      </w:r>
      <w:r>
        <w:rPr>
          <w:rFonts w:hint="eastAsia" w:ascii="仿宋" w:hAnsi="仿宋" w:eastAsia="仿宋"/>
          <w:sz w:val="32"/>
          <w:szCs w:val="32"/>
          <w:lang w:val="en-US" w:eastAsia="zh-CN"/>
        </w:rPr>
        <w:t>减少5.75</w:t>
      </w:r>
      <w:r>
        <w:rPr>
          <w:rFonts w:hint="eastAsia" w:ascii="仿宋" w:hAnsi="仿宋" w:eastAsia="仿宋"/>
          <w:sz w:val="32"/>
          <w:szCs w:val="32"/>
        </w:rPr>
        <w:t>万元，</w:t>
      </w:r>
      <w:r>
        <w:rPr>
          <w:rFonts w:hint="eastAsia" w:ascii="仿宋" w:hAnsi="仿宋" w:eastAsia="仿宋"/>
          <w:sz w:val="32"/>
          <w:szCs w:val="32"/>
          <w:lang w:val="en-US" w:eastAsia="zh-CN"/>
        </w:rPr>
        <w:t>与上年基本持平</w:t>
      </w:r>
      <w:r>
        <w:rPr>
          <w:rFonts w:hint="eastAsia" w:ascii="仿宋" w:hAnsi="仿宋" w:eastAsia="仿宋"/>
          <w:sz w:val="32"/>
          <w:szCs w:val="32"/>
        </w:rPr>
        <w:t>。</w:t>
      </w:r>
    </w:p>
    <w:p>
      <w:pPr>
        <w:snapToGrid/>
        <w:spacing w:line="54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rPr>
        <w:t>（二）商品和服务支出</w:t>
      </w:r>
      <w:r>
        <w:rPr>
          <w:rFonts w:hint="eastAsia" w:ascii="仿宋" w:hAnsi="仿宋" w:eastAsia="仿宋"/>
          <w:sz w:val="32"/>
          <w:szCs w:val="32"/>
          <w:lang w:val="en-US" w:eastAsia="zh-CN"/>
        </w:rPr>
        <w:t>113.51</w:t>
      </w:r>
      <w:r>
        <w:rPr>
          <w:rFonts w:hint="eastAsia" w:ascii="仿宋" w:hAnsi="仿宋" w:eastAsia="仿宋"/>
          <w:sz w:val="32"/>
          <w:szCs w:val="32"/>
        </w:rPr>
        <w:t>万元，较2</w:t>
      </w:r>
      <w:r>
        <w:rPr>
          <w:rFonts w:hint="eastAsia" w:ascii="仿宋" w:hAnsi="仿宋" w:eastAsia="仿宋"/>
          <w:sz w:val="32"/>
          <w:szCs w:val="32"/>
          <w:lang w:val="en-US" w:eastAsia="zh-CN"/>
        </w:rPr>
        <w:t>020</w:t>
      </w:r>
      <w:r>
        <w:rPr>
          <w:rFonts w:hint="eastAsia" w:ascii="仿宋" w:hAnsi="仿宋" w:eastAsia="仿宋"/>
          <w:sz w:val="32"/>
          <w:szCs w:val="32"/>
        </w:rPr>
        <w:t>年</w:t>
      </w:r>
      <w:r>
        <w:rPr>
          <w:rFonts w:hint="eastAsia" w:ascii="仿宋" w:hAnsi="仿宋" w:eastAsia="仿宋"/>
          <w:sz w:val="32"/>
          <w:szCs w:val="32"/>
          <w:lang w:val="en-US" w:eastAsia="zh-CN"/>
        </w:rPr>
        <w:t>减少149.49</w:t>
      </w:r>
      <w:r>
        <w:rPr>
          <w:rFonts w:hint="eastAsia" w:ascii="仿宋" w:hAnsi="仿宋" w:eastAsia="仿宋"/>
          <w:sz w:val="32"/>
          <w:szCs w:val="32"/>
        </w:rPr>
        <w:t>万元，</w:t>
      </w:r>
      <w:r>
        <w:rPr>
          <w:rFonts w:hint="eastAsia" w:ascii="仿宋" w:hAnsi="仿宋" w:eastAsia="仿宋"/>
          <w:sz w:val="32"/>
          <w:szCs w:val="32"/>
          <w:lang w:val="en-US" w:eastAsia="zh-CN"/>
        </w:rPr>
        <w:t>减少56.8%</w:t>
      </w:r>
      <w:r>
        <w:rPr>
          <w:rFonts w:hint="eastAsia" w:ascii="仿宋" w:hAnsi="仿宋" w:eastAsia="仿宋"/>
          <w:sz w:val="32"/>
          <w:szCs w:val="32"/>
          <w:lang w:eastAsia="zh-CN"/>
        </w:rPr>
        <w:t>。</w:t>
      </w:r>
    </w:p>
    <w:p>
      <w:pPr>
        <w:snapToGrid/>
        <w:spacing w:line="54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w:t>
      </w:r>
      <w:r>
        <w:rPr>
          <w:rFonts w:hint="eastAsia" w:ascii="仿宋" w:hAnsi="仿宋" w:eastAsia="仿宋"/>
          <w:sz w:val="32"/>
          <w:szCs w:val="32"/>
          <w:lang w:eastAsia="zh-CN"/>
        </w:rPr>
        <w:t>三</w:t>
      </w:r>
      <w:r>
        <w:rPr>
          <w:rFonts w:hint="eastAsia" w:ascii="仿宋" w:hAnsi="仿宋" w:eastAsia="仿宋"/>
          <w:sz w:val="32"/>
          <w:szCs w:val="32"/>
        </w:rPr>
        <w:t>）其他资本性支出</w:t>
      </w:r>
      <w:r>
        <w:rPr>
          <w:rFonts w:hint="eastAsia" w:ascii="仿宋" w:hAnsi="仿宋" w:eastAsia="仿宋"/>
          <w:sz w:val="32"/>
          <w:szCs w:val="32"/>
          <w:lang w:val="en-US" w:eastAsia="zh-CN"/>
        </w:rPr>
        <w:t>15.4</w:t>
      </w:r>
      <w:r>
        <w:rPr>
          <w:rFonts w:hint="eastAsia" w:ascii="仿宋" w:hAnsi="仿宋" w:eastAsia="仿宋"/>
          <w:sz w:val="32"/>
          <w:szCs w:val="32"/>
        </w:rPr>
        <w:t>万元，较2</w:t>
      </w:r>
      <w:r>
        <w:rPr>
          <w:rFonts w:hint="eastAsia" w:ascii="仿宋" w:hAnsi="仿宋" w:eastAsia="仿宋"/>
          <w:sz w:val="32"/>
          <w:szCs w:val="32"/>
          <w:lang w:val="en-US" w:eastAsia="zh-CN"/>
        </w:rPr>
        <w:t>020</w:t>
      </w:r>
      <w:r>
        <w:rPr>
          <w:rFonts w:hint="eastAsia" w:ascii="仿宋" w:hAnsi="仿宋" w:eastAsia="仿宋"/>
          <w:sz w:val="32"/>
          <w:szCs w:val="32"/>
        </w:rPr>
        <w:t>年</w:t>
      </w:r>
      <w:r>
        <w:rPr>
          <w:rFonts w:hint="eastAsia" w:ascii="仿宋" w:hAnsi="仿宋" w:eastAsia="仿宋"/>
          <w:sz w:val="32"/>
          <w:szCs w:val="32"/>
          <w:lang w:val="en-US" w:eastAsia="zh-CN"/>
        </w:rPr>
        <w:t>增加4.8</w:t>
      </w:r>
      <w:r>
        <w:rPr>
          <w:rFonts w:hint="eastAsia" w:ascii="仿宋" w:hAnsi="仿宋" w:eastAsia="仿宋"/>
          <w:sz w:val="32"/>
          <w:szCs w:val="32"/>
        </w:rPr>
        <w:t>万元</w:t>
      </w:r>
      <w:r>
        <w:rPr>
          <w:rFonts w:hint="eastAsia" w:ascii="仿宋" w:hAnsi="仿宋" w:eastAsia="仿宋"/>
          <w:sz w:val="32"/>
          <w:szCs w:val="32"/>
          <w:lang w:eastAsia="zh-CN"/>
        </w:rPr>
        <w:t>。</w:t>
      </w:r>
    </w:p>
    <w:p>
      <w:pPr>
        <w:pStyle w:val="2"/>
        <w:rPr>
          <w:rFonts w:hint="default"/>
          <w:lang w:val="en-US" w:eastAsia="zh-CN"/>
        </w:rPr>
      </w:pPr>
      <w:r>
        <w:rPr>
          <w:rFonts w:hint="eastAsia" w:ascii="仿宋" w:hAnsi="仿宋" w:eastAsia="仿宋"/>
          <w:sz w:val="32"/>
          <w:szCs w:val="32"/>
          <w:lang w:val="en-US" w:eastAsia="zh-CN"/>
        </w:rPr>
        <w:t>（四）对个人和家庭的补助为0.32万元，主要为退休人员的福利费。</w:t>
      </w:r>
    </w:p>
    <w:p>
      <w:pPr>
        <w:snapToGrid/>
        <w:spacing w:line="540" w:lineRule="exact"/>
        <w:ind w:firstLine="643" w:firstLineChars="200"/>
        <w:rPr>
          <w:rFonts w:ascii="仿宋" w:hAnsi="仿宋" w:eastAsia="仿宋"/>
          <w:b/>
          <w:sz w:val="32"/>
          <w:szCs w:val="32"/>
          <w:highlight w:val="none"/>
        </w:rPr>
      </w:pPr>
      <w:r>
        <w:rPr>
          <w:rFonts w:hint="eastAsia" w:ascii="仿宋" w:hAnsi="仿宋" w:eastAsia="仿宋"/>
          <w:b/>
          <w:sz w:val="32"/>
          <w:szCs w:val="32"/>
          <w:highlight w:val="none"/>
        </w:rPr>
        <w:t>五、一般公共预算财政拨款“三公”经费支出决算情况说明</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本部门</w:t>
      </w:r>
      <w:r>
        <w:rPr>
          <w:rFonts w:hint="eastAsia" w:ascii="仿宋" w:hAnsi="仿宋" w:eastAsia="仿宋"/>
          <w:sz w:val="32"/>
          <w:szCs w:val="32"/>
          <w:lang w:val="en-US" w:eastAsia="zh-CN"/>
        </w:rPr>
        <w:t>2021</w:t>
      </w:r>
      <w:r>
        <w:rPr>
          <w:rFonts w:hint="eastAsia" w:ascii="仿宋" w:hAnsi="仿宋" w:eastAsia="仿宋"/>
          <w:sz w:val="32"/>
          <w:szCs w:val="32"/>
        </w:rPr>
        <w:t>年度一般公共预算财政拨款“三公”经费支出年初预算数为</w:t>
      </w:r>
      <w:r>
        <w:rPr>
          <w:rFonts w:hint="eastAsia" w:ascii="仿宋" w:hAnsi="仿宋" w:eastAsia="仿宋"/>
          <w:sz w:val="32"/>
          <w:szCs w:val="32"/>
          <w:lang w:val="en-US" w:eastAsia="zh-CN"/>
        </w:rPr>
        <w:t>40</w:t>
      </w:r>
      <w:r>
        <w:rPr>
          <w:rFonts w:hint="eastAsia" w:ascii="仿宋" w:hAnsi="仿宋" w:eastAsia="仿宋"/>
          <w:sz w:val="32"/>
          <w:szCs w:val="32"/>
        </w:rPr>
        <w:t>万元，决算数为</w:t>
      </w:r>
      <w:r>
        <w:rPr>
          <w:rFonts w:hint="eastAsia" w:ascii="仿宋" w:hAnsi="仿宋" w:eastAsia="仿宋"/>
          <w:sz w:val="32"/>
          <w:szCs w:val="32"/>
          <w:lang w:val="en-US" w:eastAsia="zh-CN"/>
        </w:rPr>
        <w:t>23.86</w:t>
      </w:r>
      <w:r>
        <w:rPr>
          <w:rFonts w:hint="eastAsia" w:ascii="仿宋" w:hAnsi="仿宋" w:eastAsia="仿宋"/>
          <w:sz w:val="32"/>
          <w:szCs w:val="32"/>
        </w:rPr>
        <w:t>万元，完成预算的</w:t>
      </w:r>
      <w:r>
        <w:rPr>
          <w:rFonts w:hint="eastAsia" w:ascii="仿宋" w:hAnsi="仿宋" w:eastAsia="仿宋"/>
          <w:sz w:val="32"/>
          <w:szCs w:val="32"/>
          <w:lang w:val="en-US" w:eastAsia="zh-CN"/>
        </w:rPr>
        <w:t>59.65</w:t>
      </w:r>
      <w:r>
        <w:rPr>
          <w:rFonts w:hint="eastAsia" w:ascii="仿宋" w:hAnsi="仿宋" w:eastAsia="仿宋"/>
          <w:sz w:val="32"/>
          <w:szCs w:val="32"/>
        </w:rPr>
        <w:t>%，决算数较20</w:t>
      </w:r>
      <w:r>
        <w:rPr>
          <w:rFonts w:hint="eastAsia" w:ascii="仿宋" w:hAnsi="仿宋" w:eastAsia="仿宋"/>
          <w:sz w:val="32"/>
          <w:szCs w:val="32"/>
          <w:lang w:val="en-US" w:eastAsia="zh-CN"/>
        </w:rPr>
        <w:t>20</w:t>
      </w:r>
      <w:r>
        <w:rPr>
          <w:rFonts w:hint="eastAsia" w:ascii="仿宋" w:hAnsi="仿宋" w:eastAsia="仿宋"/>
          <w:sz w:val="32"/>
          <w:szCs w:val="32"/>
        </w:rPr>
        <w:t>年</w:t>
      </w:r>
      <w:r>
        <w:rPr>
          <w:rFonts w:hint="eastAsia" w:ascii="仿宋" w:hAnsi="仿宋" w:eastAsia="仿宋"/>
          <w:sz w:val="32"/>
          <w:szCs w:val="32"/>
          <w:lang w:eastAsia="zh-CN"/>
        </w:rPr>
        <w:t>减少</w:t>
      </w:r>
      <w:r>
        <w:rPr>
          <w:rFonts w:hint="eastAsia" w:ascii="仿宋" w:hAnsi="仿宋" w:eastAsia="仿宋"/>
          <w:sz w:val="32"/>
          <w:szCs w:val="32"/>
          <w:lang w:val="en-US" w:eastAsia="zh-CN"/>
        </w:rPr>
        <w:t>14.14</w:t>
      </w:r>
      <w:r>
        <w:rPr>
          <w:rFonts w:hint="eastAsia" w:ascii="仿宋" w:hAnsi="仿宋" w:eastAsia="仿宋"/>
          <w:sz w:val="32"/>
          <w:szCs w:val="32"/>
        </w:rPr>
        <w:t>万元，</w:t>
      </w:r>
      <w:r>
        <w:rPr>
          <w:rFonts w:hint="eastAsia" w:ascii="仿宋" w:hAnsi="仿宋" w:eastAsia="仿宋"/>
          <w:sz w:val="32"/>
          <w:szCs w:val="32"/>
          <w:lang w:eastAsia="zh-CN"/>
        </w:rPr>
        <w:t>减少</w:t>
      </w:r>
      <w:r>
        <w:rPr>
          <w:rFonts w:hint="eastAsia" w:ascii="仿宋" w:hAnsi="仿宋" w:eastAsia="仿宋"/>
          <w:sz w:val="32"/>
          <w:szCs w:val="32"/>
          <w:lang w:val="en-US" w:eastAsia="zh-CN"/>
        </w:rPr>
        <w:t>37.2</w:t>
      </w:r>
      <w:r>
        <w:rPr>
          <w:rFonts w:hint="eastAsia"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rPr>
        <w:t>其中：</w:t>
      </w:r>
    </w:p>
    <w:p>
      <w:pPr>
        <w:numPr>
          <w:ilvl w:val="0"/>
          <w:numId w:val="2"/>
        </w:numPr>
        <w:snapToGrid/>
        <w:spacing w:line="540" w:lineRule="exact"/>
        <w:ind w:left="20" w:leftChars="0" w:firstLine="640" w:firstLineChars="0"/>
        <w:rPr>
          <w:rFonts w:hint="eastAsia" w:ascii="仿宋" w:hAnsi="仿宋" w:eastAsia="仿宋"/>
          <w:sz w:val="32"/>
          <w:szCs w:val="32"/>
        </w:rPr>
      </w:pPr>
      <w:r>
        <w:rPr>
          <w:rFonts w:hint="eastAsia" w:ascii="仿宋" w:hAnsi="仿宋" w:eastAsia="仿宋"/>
          <w:sz w:val="32"/>
          <w:szCs w:val="32"/>
        </w:rPr>
        <w:t>因公出国（境）支出年初预算数为</w:t>
      </w:r>
      <w:r>
        <w:rPr>
          <w:rFonts w:hint="eastAsia" w:ascii="仿宋" w:hAnsi="仿宋" w:eastAsia="仿宋"/>
          <w:sz w:val="32"/>
          <w:szCs w:val="32"/>
          <w:lang w:val="en-US" w:eastAsia="zh-CN"/>
        </w:rPr>
        <w:t>0</w:t>
      </w:r>
      <w:r>
        <w:rPr>
          <w:rFonts w:hint="eastAsia" w:ascii="仿宋" w:hAnsi="仿宋" w:eastAsia="仿宋"/>
          <w:sz w:val="32"/>
          <w:szCs w:val="32"/>
        </w:rPr>
        <w:t>万元，决算数为</w:t>
      </w:r>
      <w:r>
        <w:rPr>
          <w:rFonts w:hint="eastAsia" w:ascii="仿宋" w:hAnsi="仿宋" w:eastAsia="仿宋"/>
          <w:sz w:val="32"/>
          <w:szCs w:val="32"/>
          <w:lang w:val="en-US" w:eastAsia="zh-CN"/>
        </w:rPr>
        <w:t>0</w:t>
      </w:r>
      <w:r>
        <w:rPr>
          <w:rFonts w:hint="eastAsia" w:ascii="仿宋" w:hAnsi="仿宋" w:eastAsia="仿宋"/>
          <w:sz w:val="32"/>
          <w:szCs w:val="32"/>
        </w:rPr>
        <w:t>万元，完成预算的</w:t>
      </w:r>
      <w:r>
        <w:rPr>
          <w:rFonts w:hint="eastAsia" w:ascii="仿宋" w:hAnsi="仿宋" w:eastAsia="仿宋"/>
          <w:sz w:val="32"/>
          <w:szCs w:val="32"/>
          <w:lang w:val="en-US" w:eastAsia="zh-CN"/>
        </w:rPr>
        <w:t>0</w:t>
      </w:r>
      <w:r>
        <w:rPr>
          <w:rFonts w:hint="eastAsia" w:ascii="仿宋" w:hAnsi="仿宋" w:eastAsia="仿宋"/>
          <w:sz w:val="32"/>
          <w:szCs w:val="32"/>
        </w:rPr>
        <w:t>%，</w:t>
      </w:r>
      <w:r>
        <w:rPr>
          <w:rFonts w:hint="eastAsia" w:ascii="仿宋" w:hAnsi="仿宋" w:eastAsia="仿宋"/>
          <w:sz w:val="32"/>
          <w:szCs w:val="32"/>
          <w:lang w:val="en-US" w:eastAsia="zh-CN"/>
        </w:rPr>
        <w:t>主要原因是我局外事及外办职能已划转，故无此项开支。</w:t>
      </w:r>
    </w:p>
    <w:p>
      <w:pPr>
        <w:numPr>
          <w:ilvl w:val="0"/>
          <w:numId w:val="2"/>
        </w:numPr>
        <w:snapToGrid/>
        <w:spacing w:line="540" w:lineRule="exact"/>
        <w:ind w:left="20" w:leftChars="0" w:firstLine="640" w:firstLineChars="0"/>
        <w:rPr>
          <w:rFonts w:hint="default" w:ascii="仿宋" w:hAnsi="仿宋" w:eastAsia="仿宋"/>
          <w:sz w:val="32"/>
          <w:szCs w:val="32"/>
          <w:lang w:val="en-US" w:eastAsia="zh-CN"/>
        </w:rPr>
      </w:pPr>
      <w:r>
        <w:rPr>
          <w:rFonts w:hint="eastAsia" w:ascii="仿宋" w:hAnsi="仿宋" w:eastAsia="仿宋"/>
          <w:sz w:val="32"/>
          <w:szCs w:val="32"/>
        </w:rPr>
        <w:t>公务接待费支出年初预算数为</w:t>
      </w:r>
      <w:r>
        <w:rPr>
          <w:rFonts w:hint="eastAsia" w:ascii="仿宋" w:hAnsi="仿宋" w:eastAsia="仿宋"/>
          <w:sz w:val="32"/>
          <w:szCs w:val="32"/>
          <w:lang w:val="en-US" w:eastAsia="zh-CN"/>
        </w:rPr>
        <w:t>40</w:t>
      </w:r>
      <w:r>
        <w:rPr>
          <w:rFonts w:hint="eastAsia" w:ascii="仿宋" w:hAnsi="仿宋" w:eastAsia="仿宋"/>
          <w:sz w:val="32"/>
          <w:szCs w:val="32"/>
        </w:rPr>
        <w:t>万元，决算数为</w:t>
      </w:r>
      <w:r>
        <w:rPr>
          <w:rFonts w:hint="eastAsia" w:ascii="仿宋" w:hAnsi="仿宋" w:eastAsia="仿宋"/>
          <w:sz w:val="32"/>
          <w:szCs w:val="32"/>
          <w:lang w:val="en-US" w:eastAsia="zh-CN"/>
        </w:rPr>
        <w:t>23.86</w:t>
      </w:r>
      <w:r>
        <w:rPr>
          <w:rFonts w:hint="eastAsia" w:ascii="仿宋" w:hAnsi="仿宋" w:eastAsia="仿宋"/>
          <w:sz w:val="32"/>
          <w:szCs w:val="32"/>
        </w:rPr>
        <w:t>万元，完成预算的</w:t>
      </w:r>
      <w:r>
        <w:rPr>
          <w:rFonts w:hint="eastAsia" w:ascii="仿宋" w:hAnsi="仿宋" w:eastAsia="仿宋"/>
          <w:sz w:val="32"/>
          <w:szCs w:val="32"/>
          <w:lang w:val="en-US" w:eastAsia="zh-CN"/>
        </w:rPr>
        <w:t>59.7</w:t>
      </w:r>
      <w:r>
        <w:rPr>
          <w:rFonts w:hint="eastAsia"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lang w:val="en-US" w:eastAsia="zh-CN"/>
        </w:rPr>
        <w:t>较上年下降14.14万元，降幅为37.2%，主要原因是机构调整，VR人员及招商职能划转至区科工局。</w:t>
      </w:r>
    </w:p>
    <w:p>
      <w:pPr>
        <w:numPr>
          <w:ilvl w:val="0"/>
          <w:numId w:val="2"/>
        </w:numPr>
        <w:snapToGrid/>
        <w:spacing w:line="540" w:lineRule="exact"/>
        <w:ind w:left="20" w:leftChars="0" w:firstLine="640" w:firstLineChars="0"/>
        <w:rPr>
          <w:rFonts w:hint="default" w:ascii="仿宋" w:hAnsi="仿宋" w:eastAsia="仿宋"/>
          <w:sz w:val="32"/>
          <w:szCs w:val="32"/>
          <w:lang w:val="en-US" w:eastAsia="zh-CN"/>
        </w:rPr>
      </w:pPr>
      <w:r>
        <w:rPr>
          <w:rFonts w:hint="eastAsia" w:ascii="仿宋" w:hAnsi="仿宋" w:eastAsia="仿宋"/>
          <w:sz w:val="32"/>
          <w:szCs w:val="32"/>
          <w:lang w:val="en-US" w:eastAsia="zh-CN"/>
        </w:rPr>
        <w:t>公务用车购置及运行维护费支出年初预算数为0万元，决算数为0万元，完成预算的0%，主要原因是我局无公务用车，没有此项开支。</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六、机关运行经费支出情况说明</w:t>
      </w:r>
    </w:p>
    <w:p>
      <w:pPr>
        <w:snapToGrid/>
        <w:spacing w:line="54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本部门20</w:t>
      </w:r>
      <w:r>
        <w:rPr>
          <w:rFonts w:hint="eastAsia" w:ascii="仿宋" w:hAnsi="仿宋" w:eastAsia="仿宋"/>
          <w:sz w:val="32"/>
          <w:szCs w:val="32"/>
          <w:lang w:val="en-US" w:eastAsia="zh-CN"/>
        </w:rPr>
        <w:t>21</w:t>
      </w:r>
      <w:r>
        <w:rPr>
          <w:rFonts w:hint="eastAsia" w:ascii="仿宋" w:hAnsi="仿宋" w:eastAsia="仿宋"/>
          <w:sz w:val="32"/>
          <w:szCs w:val="32"/>
        </w:rPr>
        <w:t>年度机关运行经费支出</w:t>
      </w:r>
      <w:r>
        <w:rPr>
          <w:rFonts w:hint="eastAsia" w:ascii="仿宋" w:hAnsi="仿宋" w:eastAsia="仿宋"/>
          <w:sz w:val="32"/>
          <w:szCs w:val="32"/>
          <w:lang w:val="en-US" w:eastAsia="zh-CN"/>
        </w:rPr>
        <w:t>128.92</w:t>
      </w:r>
      <w:r>
        <w:rPr>
          <w:rFonts w:hint="eastAsia" w:ascii="仿宋" w:hAnsi="仿宋" w:eastAsia="仿宋"/>
          <w:sz w:val="32"/>
          <w:szCs w:val="32"/>
        </w:rPr>
        <w:t>万元（与部门决算中行政单位和参照公务员法管理事业单位一般公共预算财政拨款基本支出中</w:t>
      </w:r>
      <w:r>
        <w:rPr>
          <w:rFonts w:hint="eastAsia" w:ascii="仿宋" w:hAnsi="仿宋" w:eastAsia="仿宋"/>
          <w:sz w:val="32"/>
          <w:szCs w:val="32"/>
          <w:lang w:eastAsia="zh-CN"/>
        </w:rPr>
        <w:t>公用经费</w:t>
      </w:r>
      <w:r>
        <w:rPr>
          <w:rFonts w:hint="eastAsia" w:ascii="仿宋" w:hAnsi="仿宋" w:eastAsia="仿宋"/>
          <w:sz w:val="32"/>
          <w:szCs w:val="32"/>
        </w:rPr>
        <w:t>一致）</w:t>
      </w:r>
      <w:r>
        <w:rPr>
          <w:rFonts w:hint="eastAsia" w:ascii="仿宋" w:hAnsi="仿宋" w:eastAsia="仿宋"/>
          <w:sz w:val="32"/>
          <w:szCs w:val="32"/>
          <w:lang w:eastAsia="zh-CN"/>
        </w:rPr>
        <w:t>。</w:t>
      </w:r>
      <w:r>
        <w:rPr>
          <w:rFonts w:hint="eastAsia" w:ascii="仿宋_GB2312" w:hAnsi="仿宋" w:eastAsia="仿宋_GB2312" w:cs="仿宋"/>
          <w:bCs/>
          <w:sz w:val="32"/>
          <w:szCs w:val="32"/>
          <w:lang w:eastAsia="zh-CN"/>
        </w:rPr>
        <w:t>属于我局日常办公经费开支，</w:t>
      </w:r>
      <w:r>
        <w:rPr>
          <w:rFonts w:hint="eastAsia" w:ascii="仿宋_GB2312" w:hAnsi="仿宋" w:eastAsia="仿宋_GB2312" w:cs="仿宋"/>
          <w:bCs/>
          <w:sz w:val="32"/>
          <w:szCs w:val="32"/>
          <w:lang w:val="en-US" w:eastAsia="zh-CN"/>
        </w:rPr>
        <w:t>用于单位日常运营，包括办公用品采购、办公设备采购、审计咨询、招商经费、宣传印刷等。较2020年减少145.08万元，下降了52.9%。</w:t>
      </w:r>
    </w:p>
    <w:p>
      <w:pPr>
        <w:snapToGrid/>
        <w:spacing w:line="540" w:lineRule="exact"/>
        <w:ind w:firstLine="643" w:firstLineChars="200"/>
        <w:rPr>
          <w:rFonts w:ascii="仿宋" w:hAnsi="仿宋" w:eastAsia="仿宋"/>
          <w:b/>
          <w:sz w:val="32"/>
          <w:szCs w:val="32"/>
        </w:rPr>
      </w:pPr>
      <w:r>
        <w:rPr>
          <w:rFonts w:hint="eastAsia" w:ascii="仿宋" w:hAnsi="仿宋" w:eastAsia="仿宋"/>
          <w:b/>
          <w:sz w:val="32"/>
          <w:szCs w:val="32"/>
        </w:rPr>
        <w:t>七、政府采购支出情况说明</w:t>
      </w:r>
    </w:p>
    <w:p>
      <w:pPr>
        <w:numPr>
          <w:ilvl w:val="0"/>
          <w:numId w:val="0"/>
        </w:numPr>
        <w:snapToGrid/>
        <w:spacing w:line="54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本部门</w:t>
      </w:r>
      <w:r>
        <w:rPr>
          <w:rFonts w:hint="eastAsia" w:ascii="仿宋" w:hAnsi="仿宋" w:eastAsia="仿宋"/>
          <w:sz w:val="32"/>
          <w:szCs w:val="32"/>
          <w:lang w:val="en-US" w:eastAsia="zh-CN"/>
        </w:rPr>
        <w:t>2021年度政府采购支出总额137万元,较2020年增加34万元，其中：</w:t>
      </w:r>
      <w:r>
        <w:rPr>
          <w:rFonts w:hint="eastAsia" w:ascii="仿宋" w:hAnsi="仿宋" w:eastAsia="仿宋"/>
          <w:sz w:val="32"/>
          <w:szCs w:val="32"/>
        </w:rPr>
        <w:t>政府采购货物支出38</w:t>
      </w:r>
      <w:r>
        <w:rPr>
          <w:rFonts w:hint="eastAsia" w:ascii="仿宋" w:hAnsi="仿宋" w:eastAsia="仿宋"/>
          <w:sz w:val="32"/>
          <w:szCs w:val="32"/>
          <w:lang w:val="en-US" w:eastAsia="zh-CN"/>
        </w:rPr>
        <w:t>万</w:t>
      </w:r>
      <w:r>
        <w:rPr>
          <w:rFonts w:hint="eastAsia" w:ascii="仿宋" w:hAnsi="仿宋" w:eastAsia="仿宋"/>
          <w:sz w:val="32"/>
          <w:szCs w:val="32"/>
        </w:rPr>
        <w:t>元</w:t>
      </w:r>
      <w:r>
        <w:rPr>
          <w:rFonts w:hint="eastAsia" w:ascii="仿宋" w:hAnsi="仿宋" w:eastAsia="仿宋"/>
          <w:sz w:val="32"/>
          <w:szCs w:val="32"/>
          <w:lang w:eastAsia="zh-CN"/>
        </w:rPr>
        <w:t>、</w:t>
      </w:r>
      <w:r>
        <w:rPr>
          <w:rFonts w:hint="eastAsia" w:ascii="仿宋" w:hAnsi="仿宋" w:eastAsia="仿宋"/>
          <w:sz w:val="32"/>
          <w:szCs w:val="32"/>
          <w:lang w:val="en-US" w:eastAsia="zh-CN"/>
        </w:rPr>
        <w:t>政府采购服务支出99万元。授予中小企业合同金额为137万元，占政府采购支出总额的100%；货物采购授予中小企业合同金额占货物支出总额的100%，服务采购授予中小企业合同金额占服务支出金额的100%。</w:t>
      </w:r>
    </w:p>
    <w:p>
      <w:pPr>
        <w:numPr>
          <w:ilvl w:val="0"/>
          <w:numId w:val="0"/>
        </w:numPr>
        <w:snapToGrid/>
        <w:spacing w:line="540" w:lineRule="exact"/>
        <w:ind w:firstLine="643" w:firstLineChars="200"/>
        <w:rPr>
          <w:rFonts w:hint="eastAsia" w:ascii="仿宋" w:hAnsi="仿宋" w:eastAsia="仿宋"/>
          <w:color w:val="auto"/>
          <w:sz w:val="32"/>
          <w:szCs w:val="32"/>
          <w:lang w:eastAsia="zh-CN"/>
        </w:rPr>
      </w:pPr>
      <w:r>
        <w:rPr>
          <w:rFonts w:hint="eastAsia" w:ascii="仿宋" w:hAnsi="仿宋" w:eastAsia="仿宋"/>
          <w:b/>
          <w:sz w:val="32"/>
          <w:szCs w:val="32"/>
          <w:lang w:eastAsia="zh-CN"/>
        </w:rPr>
        <w:t>八、国有资产占用情况说明</w:t>
      </w:r>
    </w:p>
    <w:p>
      <w:pPr>
        <w:numPr>
          <w:ilvl w:val="0"/>
          <w:numId w:val="0"/>
        </w:numPr>
        <w:snapToGrid/>
        <w:spacing w:line="540" w:lineRule="exact"/>
        <w:rPr>
          <w:rFonts w:hint="default" w:ascii="仿宋" w:hAnsi="仿宋" w:eastAsia="仿宋"/>
          <w:color w:val="auto"/>
          <w:sz w:val="32"/>
          <w:szCs w:val="32"/>
          <w:lang w:val="en-US" w:eastAsia="zh-CN"/>
        </w:rPr>
      </w:pPr>
      <w:r>
        <w:rPr>
          <w:rFonts w:hint="eastAsia" w:ascii="仿宋" w:hAnsi="仿宋" w:eastAsia="仿宋"/>
          <w:color w:val="auto"/>
          <w:sz w:val="32"/>
          <w:szCs w:val="32"/>
          <w:lang w:val="en-US" w:eastAsia="zh-CN"/>
        </w:rPr>
        <w:t xml:space="preserve">     截止2021年12月31日，本单位国有资产占用情况见公开10表《国有资产占用情况表》，因本单位无公务用车和自有用车，所以并无国有资产占用情况。</w:t>
      </w:r>
    </w:p>
    <w:p>
      <w:pPr>
        <w:numPr>
          <w:ilvl w:val="0"/>
          <w:numId w:val="3"/>
        </w:numPr>
        <w:snapToGrid/>
        <w:spacing w:line="540" w:lineRule="exact"/>
        <w:ind w:firstLine="643" w:firstLineChars="200"/>
        <w:rPr>
          <w:rFonts w:hint="eastAsia" w:ascii="仿宋" w:hAnsi="仿宋" w:eastAsia="仿宋"/>
          <w:b/>
          <w:sz w:val="32"/>
          <w:szCs w:val="32"/>
        </w:rPr>
      </w:pPr>
      <w:r>
        <w:rPr>
          <w:rFonts w:hint="eastAsia" w:ascii="仿宋" w:hAnsi="仿宋" w:eastAsia="仿宋"/>
          <w:b/>
          <w:sz w:val="32"/>
          <w:szCs w:val="32"/>
        </w:rPr>
        <w:t>预算绩效情况说明</w:t>
      </w:r>
    </w:p>
    <w:p>
      <w:pPr>
        <w:numPr>
          <w:ilvl w:val="0"/>
          <w:numId w:val="0"/>
        </w:numPr>
        <w:snapToGrid/>
        <w:spacing w:line="540" w:lineRule="exact"/>
        <w:rPr>
          <w:rFonts w:hint="default" w:ascii="仿宋" w:hAnsi="仿宋" w:eastAsia="仿宋"/>
          <w:b/>
          <w:sz w:val="32"/>
          <w:szCs w:val="32"/>
          <w:lang w:val="en-US" w:eastAsia="zh-CN"/>
        </w:rPr>
      </w:pPr>
      <w:r>
        <w:rPr>
          <w:rFonts w:hint="eastAsia" w:ascii="仿宋" w:hAnsi="仿宋" w:eastAsia="仿宋"/>
          <w:b/>
          <w:sz w:val="32"/>
          <w:szCs w:val="32"/>
          <w:lang w:val="en-US" w:eastAsia="zh-CN"/>
        </w:rPr>
        <w:t xml:space="preserve">     （一）绩效管理工作开展情况</w:t>
      </w:r>
    </w:p>
    <w:p>
      <w:pPr>
        <w:snapToGrid w:val="0"/>
        <w:spacing w:line="52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rPr>
        <w:t xml:space="preserve"> </w:t>
      </w:r>
      <w:r>
        <w:rPr>
          <w:rFonts w:hint="eastAsia" w:ascii="仿宋" w:hAnsi="仿宋" w:eastAsia="仿宋"/>
          <w:sz w:val="32"/>
          <w:szCs w:val="32"/>
          <w:lang w:val="en-US" w:eastAsia="zh-CN"/>
        </w:rPr>
        <w:t>根据预算绩效管理要求，我单位组织对纳入2021年度部门预算范围的二级项目4个全面开展绩效自评，共涉及金额10222.17万元，占项目支出总额的60%。</w:t>
      </w:r>
    </w:p>
    <w:p>
      <w:pPr>
        <w:numPr>
          <w:ilvl w:val="0"/>
          <w:numId w:val="0"/>
        </w:numPr>
        <w:snapToGrid/>
        <w:spacing w:line="540" w:lineRule="exact"/>
        <w:ind w:firstLine="643" w:firstLineChars="200"/>
        <w:rPr>
          <w:rFonts w:hint="default" w:ascii="仿宋" w:hAnsi="仿宋" w:eastAsia="仿宋" w:cs="Times New Roman"/>
          <w:b/>
          <w:sz w:val="32"/>
          <w:szCs w:val="32"/>
          <w:lang w:val="en-US" w:eastAsia="zh-CN"/>
        </w:rPr>
      </w:pPr>
      <w:r>
        <w:rPr>
          <w:rFonts w:hint="eastAsia" w:ascii="仿宋" w:hAnsi="仿宋" w:eastAsia="仿宋" w:cs="Times New Roman"/>
          <w:b/>
          <w:sz w:val="32"/>
          <w:szCs w:val="32"/>
          <w:lang w:val="en-US" w:eastAsia="zh-CN"/>
        </w:rPr>
        <w:t>（二）物联网产业创新中心（含深圳产业加速器）运营管理服务项目绩效自评情况</w:t>
      </w:r>
    </w:p>
    <w:p>
      <w:pPr>
        <w:numPr>
          <w:ilvl w:val="0"/>
          <w:numId w:val="0"/>
        </w:numPr>
        <w:spacing w:line="600" w:lineRule="exact"/>
        <w:ind w:firstLine="640" w:firstLineChars="200"/>
        <w:rPr>
          <w:rFonts w:hint="eastAsia" w:ascii="黑体" w:hAnsi="黑体" w:eastAsia="黑体"/>
          <w:color w:val="000000"/>
          <w:sz w:val="32"/>
          <w:szCs w:val="32"/>
        </w:rPr>
      </w:pPr>
    </w:p>
    <w:p>
      <w:pPr>
        <w:numPr>
          <w:ilvl w:val="0"/>
          <w:numId w:val="0"/>
        </w:numPr>
        <w:spacing w:line="60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一、基本情况</w:t>
      </w:r>
    </w:p>
    <w:p>
      <w:pPr>
        <w:numPr>
          <w:ilvl w:val="0"/>
          <w:numId w:val="0"/>
        </w:numPr>
        <w:spacing w:line="576" w:lineRule="exact"/>
        <w:ind w:firstLine="560" w:firstLineChars="200"/>
        <w:rPr>
          <w:rFonts w:hint="default" w:ascii="仿宋_GB2312" w:hAnsi="仿宋_GB2312" w:eastAsia="仿宋_GB2312" w:cs="仿宋_GB2312"/>
          <w:color w:val="000000"/>
          <w:sz w:val="28"/>
          <w:szCs w:val="28"/>
          <w:highlight w:val="none"/>
          <w:lang w:val="en-US" w:eastAsia="zh-CN"/>
        </w:rPr>
      </w:pPr>
      <w:r>
        <w:rPr>
          <w:rFonts w:hint="default" w:ascii="仿宋_GB2312" w:hAnsi="仿宋_GB2312" w:eastAsia="仿宋_GB2312" w:cs="仿宋_GB2312"/>
          <w:color w:val="000000"/>
          <w:sz w:val="28"/>
          <w:szCs w:val="28"/>
          <w:highlight w:val="none"/>
          <w:lang w:val="en-US" w:eastAsia="zh-CN"/>
        </w:rPr>
        <w:t>项目全年预算962.98万元，</w:t>
      </w:r>
      <w:r>
        <w:rPr>
          <w:rFonts w:hint="eastAsia" w:ascii="仿宋_GB2312" w:hAnsi="仿宋_GB2312" w:eastAsia="仿宋_GB2312" w:cs="仿宋_GB2312"/>
          <w:color w:val="000000"/>
          <w:sz w:val="28"/>
          <w:szCs w:val="28"/>
          <w:highlight w:val="none"/>
          <w:lang w:val="en-US" w:eastAsia="zh-CN"/>
        </w:rPr>
        <w:t>全年</w:t>
      </w:r>
      <w:r>
        <w:rPr>
          <w:rFonts w:hint="default" w:ascii="仿宋_GB2312" w:hAnsi="仿宋_GB2312" w:eastAsia="仿宋_GB2312" w:cs="仿宋_GB2312"/>
          <w:color w:val="000000"/>
          <w:sz w:val="28"/>
          <w:szCs w:val="28"/>
          <w:highlight w:val="none"/>
          <w:lang w:val="en-US" w:eastAsia="zh-CN"/>
        </w:rPr>
        <w:t>执行</w:t>
      </w:r>
      <w:r>
        <w:rPr>
          <w:rFonts w:hint="eastAsia" w:ascii="仿宋_GB2312" w:hAnsi="仿宋_GB2312" w:eastAsia="仿宋_GB2312" w:cs="仿宋_GB2312"/>
          <w:color w:val="000000"/>
          <w:sz w:val="28"/>
          <w:szCs w:val="28"/>
          <w:highlight w:val="none"/>
          <w:lang w:val="en-US" w:eastAsia="zh-CN"/>
        </w:rPr>
        <w:t>942.98</w:t>
      </w:r>
      <w:r>
        <w:rPr>
          <w:rFonts w:hint="default" w:ascii="仿宋_GB2312" w:hAnsi="仿宋_GB2312" w:eastAsia="仿宋_GB2312" w:cs="仿宋_GB2312"/>
          <w:color w:val="000000"/>
          <w:sz w:val="28"/>
          <w:szCs w:val="28"/>
          <w:highlight w:val="none"/>
          <w:lang w:val="en-US" w:eastAsia="zh-CN"/>
        </w:rPr>
        <w:t>万元，执行率为</w:t>
      </w:r>
      <w:r>
        <w:rPr>
          <w:rFonts w:hint="eastAsia" w:ascii="仿宋_GB2312" w:hAnsi="仿宋_GB2312" w:eastAsia="仿宋_GB2312" w:cs="仿宋_GB2312"/>
          <w:color w:val="000000"/>
          <w:sz w:val="28"/>
          <w:szCs w:val="28"/>
          <w:highlight w:val="none"/>
          <w:lang w:val="en-US" w:eastAsia="zh-CN"/>
        </w:rPr>
        <w:t>97.92</w:t>
      </w:r>
      <w:r>
        <w:rPr>
          <w:rFonts w:hint="default" w:ascii="仿宋_GB2312" w:hAnsi="仿宋_GB2312" w:eastAsia="仿宋_GB2312" w:cs="仿宋_GB2312"/>
          <w:color w:val="000000"/>
          <w:sz w:val="28"/>
          <w:szCs w:val="28"/>
          <w:highlight w:val="none"/>
          <w:lang w:val="en-US" w:eastAsia="zh-CN"/>
        </w:rPr>
        <w:t>%</w:t>
      </w:r>
      <w:r>
        <w:rPr>
          <w:rFonts w:hint="eastAsia" w:ascii="仿宋_GB2312" w:hAnsi="仿宋_GB2312" w:eastAsia="仿宋_GB2312" w:cs="仿宋_GB2312"/>
          <w:color w:val="000000"/>
          <w:sz w:val="28"/>
          <w:szCs w:val="28"/>
          <w:highlight w:val="none"/>
          <w:lang w:val="en-US" w:eastAsia="zh-CN"/>
        </w:rPr>
        <w:t>。</w:t>
      </w:r>
      <w:r>
        <w:rPr>
          <w:rFonts w:hint="default" w:ascii="仿宋_GB2312" w:hAnsi="仿宋_GB2312" w:eastAsia="仿宋_GB2312" w:cs="仿宋_GB2312"/>
          <w:color w:val="000000"/>
          <w:sz w:val="28"/>
          <w:szCs w:val="28"/>
          <w:highlight w:val="none"/>
          <w:lang w:val="en-US" w:eastAsia="zh-CN"/>
        </w:rPr>
        <w:t>根据2020年5月份第3次区招商引资工作领导小组会议研究，物联网产业创新中心项目考核自第二年度起，由季度考核变更为半年考核，即每年度考核2次(考核时间为每年的11月1日及次年的4月1日),相应运营费用支付方式由一年四次变为一年两次，即每年的11月1日前考核合格后支付年度运营费的40%；每年的4月1日考核合格后支付年度运营费的60%。</w:t>
      </w:r>
    </w:p>
    <w:p>
      <w:pPr>
        <w:numPr>
          <w:ilvl w:val="0"/>
          <w:numId w:val="0"/>
        </w:numPr>
        <w:spacing w:line="576" w:lineRule="exact"/>
        <w:ind w:firstLine="560" w:firstLineChars="200"/>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2021年4月12日，区财政局已对南昌物联网产业创新中心2020年4月1日至2020年10月31日运营效果完成情况进行绩效考核，此次考核总分41.4分，实际得分28.2分，按百分制换算，得分为68.12分，达到兑现标准。根据《南昌物联网产业创新中心(含深圳加速器)运营管理服务项目合作协议》第五条“付款方式”约定，及2020年第3次招商引资工作领导小组会议纪要精神，建议本次兑现物联网运营方年度运营费384.8万元（962*0.4）。5月11日，区商务局提请常务会审议运营费请示。2021年5月14日，通过区政府常务会审议，拨付南昌念尘科技有限公司服务费384.8万元。</w:t>
      </w:r>
    </w:p>
    <w:p>
      <w:pPr>
        <w:numPr>
          <w:ilvl w:val="0"/>
          <w:numId w:val="0"/>
        </w:numPr>
        <w:spacing w:line="576" w:lineRule="exact"/>
        <w:ind w:firstLine="560" w:firstLineChars="200"/>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2021年7月20日，区商务局提请常务会审议运营费请示，已组织考核小组成员单位对物联网项目运营方2020年4月1日至2021年3月31日运营效果完成情况进行评分考核，考核总分为110分，实际得分102.75分，按百分制换算，得分为93.4分，达到兑现标准。应付运营费用为9620000*30%*（102.75/110）即2695786元人民币，预付运营费为9620000*30%即2886000元人民币，本次总计拨付金额为5581786元人民币。2021年8月6日，通过区政府常务会审议，拨付南昌念尘科技有限公司服务费5581786元。</w:t>
      </w:r>
    </w:p>
    <w:p>
      <w:pPr>
        <w:numPr>
          <w:ilvl w:val="0"/>
          <w:numId w:val="0"/>
        </w:numPr>
        <w:spacing w:line="576" w:lineRule="exact"/>
        <w:ind w:firstLine="560" w:firstLineChars="200"/>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2021年度，区商务局拨付南昌念尘科技有限公司服务费合计942.98万元。</w:t>
      </w:r>
    </w:p>
    <w:p>
      <w:pPr>
        <w:spacing w:line="60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二、绩效评价工作开展情况</w:t>
      </w:r>
    </w:p>
    <w:p>
      <w:pPr>
        <w:numPr>
          <w:ilvl w:val="0"/>
          <w:numId w:val="0"/>
        </w:numPr>
        <w:spacing w:line="576" w:lineRule="exact"/>
        <w:ind w:firstLine="560" w:firstLineChars="200"/>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我局采用目标比较法，用定量分析和定性分析相结合的方式，将绩效执行情况和预期绩效目标进行比较，对目标完成、预算执行等情况进行分析评判。针对物联网产业创新中心（含深圳产业加速器）运营管理服务费，依法依规进行支付，并邀请江西文亚经济咨询有限公司出具了项目支出绩效监控报告。</w:t>
      </w:r>
    </w:p>
    <w:p>
      <w:pPr>
        <w:numPr>
          <w:ilvl w:val="0"/>
          <w:numId w:val="0"/>
        </w:numPr>
        <w:spacing w:line="600" w:lineRule="exact"/>
        <w:ind w:firstLine="984" w:firstLineChars="300"/>
        <w:rPr>
          <w:rFonts w:hint="eastAsia" w:ascii="楷体_GB2312" w:eastAsia="楷体_GB2312"/>
          <w:b/>
          <w:color w:val="000000"/>
          <w:sz w:val="32"/>
          <w:szCs w:val="32"/>
        </w:rPr>
      </w:pPr>
      <w:r>
        <w:rPr>
          <w:rFonts w:hint="eastAsia" w:ascii="黑体" w:hAnsi="黑体" w:eastAsia="黑体"/>
          <w:color w:val="000000"/>
          <w:spacing w:val="4"/>
          <w:sz w:val="32"/>
          <w:szCs w:val="32"/>
          <w:lang w:val="en-US" w:eastAsia="zh-CN"/>
        </w:rPr>
        <w:t>三、</w:t>
      </w:r>
      <w:r>
        <w:rPr>
          <w:rFonts w:hint="eastAsia" w:ascii="黑体" w:hAnsi="黑体" w:eastAsia="黑体"/>
          <w:color w:val="000000"/>
          <w:spacing w:val="4"/>
          <w:sz w:val="32"/>
          <w:szCs w:val="32"/>
        </w:rPr>
        <w:t>综合评价情况及评价结论</w:t>
      </w:r>
      <w:r>
        <w:rPr>
          <w:rFonts w:hint="eastAsia" w:ascii="楷体_GB2312" w:eastAsia="楷体_GB2312"/>
          <w:b/>
          <w:color w:val="000000"/>
          <w:sz w:val="32"/>
          <w:szCs w:val="32"/>
        </w:rPr>
        <w:t>（附相关评分表）</w:t>
      </w:r>
    </w:p>
    <w:p>
      <w:pPr>
        <w:pStyle w:val="2"/>
        <w:numPr>
          <w:ilvl w:val="0"/>
          <w:numId w:val="0"/>
        </w:numPr>
        <w:ind w:leftChars="200" w:firstLine="560" w:firstLineChars="200"/>
      </w:pPr>
      <w:r>
        <w:rPr>
          <w:rFonts w:hint="eastAsia" w:ascii="仿宋" w:hAnsi="仿宋" w:eastAsia="仿宋" w:cs="仿宋"/>
          <w:b w:val="0"/>
          <w:bCs/>
          <w:sz w:val="28"/>
          <w:szCs w:val="28"/>
          <w:highlight w:val="none"/>
          <w:lang w:val="en-US" w:eastAsia="zh-CN"/>
        </w:rPr>
        <w:t>该项目运行情况总体良好，预算执行完成率为99.8%%，项目根据工作计划安排，结合考核结果，基本按时完成当年既定目标。</w:t>
      </w:r>
    </w:p>
    <w:p>
      <w:pPr>
        <w:spacing w:line="60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四、绩效评价指标分析</w:t>
      </w:r>
    </w:p>
    <w:p>
      <w:pPr>
        <w:spacing w:line="600" w:lineRule="exact"/>
        <w:ind w:firstLine="643" w:firstLineChars="200"/>
        <w:outlineLvl w:val="0"/>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（一）项目决策情况。</w:t>
      </w:r>
    </w:p>
    <w:p>
      <w:pPr>
        <w:pStyle w:val="2"/>
        <w:rPr>
          <w:rFonts w:hint="default"/>
          <w:lang w:val="en-US"/>
        </w:rPr>
      </w:pPr>
      <w:r>
        <w:rPr>
          <w:rFonts w:hint="eastAsia" w:ascii="仿宋_GB2312" w:hAnsi="仿宋_GB2312" w:cs="仿宋_GB2312"/>
          <w:color w:val="000000"/>
          <w:sz w:val="28"/>
          <w:szCs w:val="28"/>
          <w:highlight w:val="none"/>
          <w:lang w:val="en-US" w:eastAsia="zh-CN"/>
        </w:rPr>
        <w:t>该项目分别经过了</w:t>
      </w:r>
      <w:r>
        <w:rPr>
          <w:rFonts w:hint="eastAsia" w:ascii="仿宋_GB2312" w:hAnsi="仿宋_GB2312" w:eastAsia="仿宋_GB2312" w:cs="仿宋_GB2312"/>
          <w:color w:val="000000"/>
          <w:sz w:val="28"/>
          <w:szCs w:val="28"/>
          <w:highlight w:val="none"/>
          <w:lang w:val="en-US" w:eastAsia="zh-CN"/>
        </w:rPr>
        <w:t>2021年第13次常务会</w:t>
      </w:r>
      <w:r>
        <w:rPr>
          <w:rFonts w:hint="eastAsia" w:ascii="仿宋_GB2312" w:hAnsi="仿宋_GB2312" w:cs="仿宋_GB2312"/>
          <w:color w:val="000000"/>
          <w:sz w:val="28"/>
          <w:szCs w:val="28"/>
          <w:highlight w:val="none"/>
          <w:lang w:val="en-US" w:eastAsia="zh-CN"/>
        </w:rPr>
        <w:t>及2021年7月28日召开的商务局三重一大会议，按照会议机制进行集体决策后再执行资金兑付。</w:t>
      </w:r>
    </w:p>
    <w:p>
      <w:pPr>
        <w:numPr>
          <w:ilvl w:val="0"/>
          <w:numId w:val="0"/>
        </w:numPr>
        <w:spacing w:line="600" w:lineRule="exact"/>
        <w:ind w:firstLine="643" w:firstLineChars="200"/>
        <w:outlineLvl w:val="0"/>
        <w:rPr>
          <w:rFonts w:hint="eastAsia" w:eastAsia="仿宋_GB2312"/>
          <w:lang w:val="en-US" w:eastAsia="zh-CN"/>
        </w:rPr>
      </w:pPr>
      <w:r>
        <w:rPr>
          <w:rFonts w:hint="eastAsia" w:ascii="楷体_GB2312" w:hAnsi="楷体_GB2312" w:eastAsia="楷体_GB2312" w:cs="楷体_GB2312"/>
          <w:b/>
          <w:color w:val="000000"/>
          <w:sz w:val="32"/>
          <w:szCs w:val="32"/>
          <w:lang w:eastAsia="zh-CN"/>
        </w:rPr>
        <w:t>（</w:t>
      </w:r>
      <w:r>
        <w:rPr>
          <w:rFonts w:hint="eastAsia" w:ascii="楷体_GB2312" w:hAnsi="楷体_GB2312" w:eastAsia="楷体_GB2312" w:cs="楷体_GB2312"/>
          <w:b/>
          <w:color w:val="000000"/>
          <w:sz w:val="32"/>
          <w:szCs w:val="32"/>
          <w:lang w:val="en-US" w:eastAsia="zh-CN"/>
        </w:rPr>
        <w:t>二</w:t>
      </w:r>
      <w:r>
        <w:rPr>
          <w:rFonts w:hint="eastAsia" w:ascii="楷体_GB2312" w:hAnsi="楷体_GB2312" w:eastAsia="楷体_GB2312" w:cs="楷体_GB2312"/>
          <w:b/>
          <w:color w:val="000000"/>
          <w:sz w:val="32"/>
          <w:szCs w:val="32"/>
          <w:lang w:eastAsia="zh-CN"/>
        </w:rPr>
        <w:t>）</w:t>
      </w:r>
      <w:r>
        <w:rPr>
          <w:rFonts w:hint="eastAsia" w:ascii="楷体_GB2312" w:hAnsi="楷体_GB2312" w:eastAsia="楷体_GB2312" w:cs="楷体_GB2312"/>
          <w:b/>
          <w:color w:val="000000"/>
          <w:sz w:val="32"/>
          <w:szCs w:val="32"/>
        </w:rPr>
        <w:t>项目过程情况。</w:t>
      </w:r>
    </w:p>
    <w:p>
      <w:pPr>
        <w:pStyle w:val="2"/>
        <w:rPr>
          <w:rFonts w:hint="default" w:ascii="仿宋_GB2312" w:hAnsi="仿宋_GB2312" w:cs="仿宋_GB2312"/>
          <w:color w:val="000000"/>
          <w:sz w:val="28"/>
          <w:szCs w:val="28"/>
          <w:highlight w:val="none"/>
          <w:lang w:val="en-US" w:eastAsia="zh-CN"/>
        </w:rPr>
      </w:pPr>
      <w:r>
        <w:rPr>
          <w:rFonts w:hint="eastAsia" w:ascii="仿宋_GB2312" w:hAnsi="仿宋_GB2312" w:cs="仿宋_GB2312"/>
          <w:color w:val="000000"/>
          <w:sz w:val="28"/>
          <w:szCs w:val="28"/>
          <w:highlight w:val="none"/>
          <w:lang w:val="en-US" w:eastAsia="zh-CN"/>
        </w:rPr>
        <w:t>按照</w:t>
      </w:r>
      <w:r>
        <w:rPr>
          <w:rFonts w:hint="eastAsia" w:ascii="仿宋_GB2312" w:hAnsi="仿宋_GB2312" w:eastAsia="仿宋_GB2312" w:cs="仿宋_GB2312"/>
          <w:color w:val="000000"/>
          <w:sz w:val="28"/>
          <w:szCs w:val="28"/>
          <w:highlight w:val="none"/>
          <w:lang w:val="en-US" w:eastAsia="zh-CN"/>
        </w:rPr>
        <w:t>《南昌物联网产业创新中心(含深圳加速器)运营管理服务项目合作协议》</w:t>
      </w:r>
      <w:r>
        <w:rPr>
          <w:rFonts w:hint="eastAsia" w:ascii="仿宋_GB2312" w:hAnsi="仿宋_GB2312" w:cs="仿宋_GB2312"/>
          <w:color w:val="000000"/>
          <w:sz w:val="28"/>
          <w:szCs w:val="28"/>
          <w:highlight w:val="none"/>
          <w:lang w:val="en-US" w:eastAsia="zh-CN"/>
        </w:rPr>
        <w:t>，提前考核小组进行评分考核，并征询了区财政局意见后提请区常务会审议研究。</w:t>
      </w:r>
    </w:p>
    <w:p>
      <w:pPr>
        <w:numPr>
          <w:ilvl w:val="0"/>
          <w:numId w:val="0"/>
        </w:numPr>
        <w:spacing w:line="600" w:lineRule="exact"/>
        <w:ind w:left="660" w:leftChars="0"/>
        <w:outlineLvl w:val="0"/>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lang w:eastAsia="zh-CN"/>
        </w:rPr>
        <w:t>（</w:t>
      </w:r>
      <w:r>
        <w:rPr>
          <w:rFonts w:hint="eastAsia" w:ascii="楷体_GB2312" w:hAnsi="楷体_GB2312" w:eastAsia="楷体_GB2312" w:cs="楷体_GB2312"/>
          <w:b/>
          <w:color w:val="000000"/>
          <w:sz w:val="32"/>
          <w:szCs w:val="32"/>
          <w:lang w:val="en-US" w:eastAsia="zh-CN"/>
        </w:rPr>
        <w:t>三</w:t>
      </w:r>
      <w:r>
        <w:rPr>
          <w:rFonts w:hint="eastAsia" w:ascii="楷体_GB2312" w:hAnsi="楷体_GB2312" w:eastAsia="楷体_GB2312" w:cs="楷体_GB2312"/>
          <w:b/>
          <w:color w:val="000000"/>
          <w:sz w:val="32"/>
          <w:szCs w:val="32"/>
          <w:lang w:eastAsia="zh-CN"/>
        </w:rPr>
        <w:t>）</w:t>
      </w:r>
      <w:r>
        <w:rPr>
          <w:rFonts w:hint="eastAsia" w:ascii="楷体_GB2312" w:hAnsi="楷体_GB2312" w:eastAsia="楷体_GB2312" w:cs="楷体_GB2312"/>
          <w:b/>
          <w:color w:val="000000"/>
          <w:sz w:val="32"/>
          <w:szCs w:val="32"/>
        </w:rPr>
        <w:t>项目产出情况。</w:t>
      </w:r>
    </w:p>
    <w:p>
      <w:pPr>
        <w:numPr>
          <w:ilvl w:val="0"/>
          <w:numId w:val="0"/>
        </w:numPr>
        <w:spacing w:line="600" w:lineRule="exact"/>
        <w:ind w:firstLine="560" w:firstLineChars="200"/>
        <w:outlineLvl w:val="0"/>
        <w:rPr>
          <w:rFonts w:hint="eastAsia" w:ascii="仿宋_GB2312" w:hAnsi="仿宋_GB2312" w:eastAsia="仿宋_GB2312" w:cs="仿宋_GB2312"/>
          <w:b w:val="0"/>
          <w:bCs/>
          <w:color w:val="000000"/>
          <w:sz w:val="28"/>
          <w:szCs w:val="28"/>
          <w:lang w:val="en-US" w:eastAsia="zh-CN"/>
        </w:rPr>
      </w:pPr>
      <w:r>
        <w:rPr>
          <w:rFonts w:hint="eastAsia" w:ascii="仿宋_GB2312" w:hAnsi="仿宋_GB2312" w:eastAsia="仿宋_GB2312" w:cs="仿宋_GB2312"/>
          <w:b w:val="0"/>
          <w:bCs/>
          <w:color w:val="000000"/>
          <w:sz w:val="28"/>
          <w:szCs w:val="28"/>
          <w:lang w:val="en-US" w:eastAsia="zh-CN"/>
        </w:rPr>
        <w:t>为50余家入驻企业提供高质量的服务，助力物联网产业创新中心年度税收达4300多万，为全区的物联网经济发展作出了重要贡献。</w:t>
      </w:r>
    </w:p>
    <w:p>
      <w:pPr>
        <w:spacing w:line="600" w:lineRule="exact"/>
        <w:ind w:firstLine="643" w:firstLineChars="200"/>
        <w:outlineLvl w:val="0"/>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（四）项目效益情况。</w:t>
      </w:r>
    </w:p>
    <w:p>
      <w:pPr>
        <w:pStyle w:val="2"/>
        <w:rPr>
          <w:rFonts w:hint="default" w:eastAsia="楷体_GB2312"/>
          <w:lang w:val="en-US" w:eastAsia="zh-CN"/>
        </w:rPr>
      </w:pPr>
      <w:r>
        <w:rPr>
          <w:rFonts w:hint="eastAsia" w:ascii="仿宋_GB2312" w:hAnsi="仿宋_GB2312" w:cs="仿宋_GB2312"/>
          <w:color w:val="000000"/>
          <w:sz w:val="28"/>
          <w:szCs w:val="28"/>
          <w:highlight w:val="none"/>
          <w:lang w:val="en-US" w:eastAsia="zh-CN"/>
        </w:rPr>
        <w:t>经济效益和社会效益明显，运营方对物联网中心起到了运营管理作用，对物联网产业发展起到了促进作用。</w:t>
      </w:r>
    </w:p>
    <w:p>
      <w:pPr>
        <w:spacing w:line="600" w:lineRule="exact"/>
        <w:ind w:firstLine="320" w:firstLineChars="100"/>
        <w:rPr>
          <w:rFonts w:hint="eastAsia" w:ascii="黑体" w:hAnsi="黑体" w:eastAsia="黑体"/>
          <w:color w:val="000000"/>
          <w:sz w:val="32"/>
          <w:szCs w:val="32"/>
        </w:rPr>
      </w:pPr>
      <w:r>
        <w:rPr>
          <w:rFonts w:hint="eastAsia" w:ascii="黑体" w:hAnsi="黑体" w:eastAsia="黑体"/>
          <w:color w:val="000000"/>
          <w:sz w:val="32"/>
          <w:szCs w:val="32"/>
        </w:rPr>
        <w:t>五、主要经验及做法、存在的问题及原因分析</w:t>
      </w:r>
    </w:p>
    <w:p>
      <w:pPr>
        <w:pStyle w:val="2"/>
        <w:rPr>
          <w:rFonts w:hint="eastAsia" w:ascii="仿宋_GB2312" w:hAnsi="仿宋_GB2312" w:cs="仿宋_GB2312"/>
          <w:color w:val="000000"/>
          <w:sz w:val="28"/>
          <w:szCs w:val="28"/>
          <w:highlight w:val="none"/>
          <w:lang w:val="en-US" w:eastAsia="zh-CN"/>
        </w:rPr>
      </w:pPr>
      <w:r>
        <w:rPr>
          <w:rFonts w:hint="eastAsia" w:ascii="仿宋_GB2312" w:hAnsi="仿宋_GB2312" w:cs="仿宋_GB2312"/>
          <w:color w:val="000000"/>
          <w:sz w:val="28"/>
          <w:szCs w:val="28"/>
          <w:highlight w:val="none"/>
          <w:lang w:val="en-US" w:eastAsia="zh-CN"/>
        </w:rPr>
        <w:t>继续做好后续的项目资金跟踪，对物联网产业园及时进行政策宣传，对运营管理团队做好评价与监督，助力产业园企业发展。</w:t>
      </w: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p>
    <w:p>
      <w:pPr>
        <w:spacing w:line="500" w:lineRule="exact"/>
        <w:jc w:val="center"/>
        <w:rPr>
          <w:rFonts w:hint="eastAsia" w:ascii="黑体" w:hAnsi="黑体" w:eastAsia="黑体" w:cs="黑体"/>
          <w:bCs/>
          <w:color w:val="000000"/>
          <w:kern w:val="0"/>
          <w:sz w:val="30"/>
          <w:szCs w:val="30"/>
        </w:rPr>
      </w:pPr>
      <w:r>
        <w:rPr>
          <w:rFonts w:hint="eastAsia" w:ascii="黑体" w:hAnsi="黑体" w:eastAsia="黑体" w:cs="黑体"/>
          <w:bCs/>
          <w:color w:val="000000"/>
          <w:kern w:val="0"/>
          <w:sz w:val="30"/>
          <w:szCs w:val="30"/>
        </w:rPr>
        <w:t>项目支出绩效自评表</w:t>
      </w:r>
    </w:p>
    <w:p>
      <w:pPr>
        <w:spacing w:line="500" w:lineRule="exact"/>
        <w:jc w:val="center"/>
        <w:rPr>
          <w:rFonts w:ascii="楷体_GB2312" w:hAnsi="楷体_GB2312" w:eastAsia="楷体_GB2312" w:cs="楷体_GB2312"/>
          <w:b/>
          <w:bCs/>
          <w:color w:val="000000"/>
          <w:sz w:val="28"/>
          <w:szCs w:val="28"/>
        </w:rPr>
      </w:pPr>
      <w:r>
        <w:rPr>
          <w:rFonts w:hint="eastAsia" w:ascii="楷体_GB2312" w:hAnsi="楷体_GB2312" w:eastAsia="楷体_GB2312" w:cs="楷体_GB2312"/>
          <w:b/>
          <w:bCs/>
          <w:color w:val="000000"/>
          <w:kern w:val="0"/>
          <w:sz w:val="28"/>
          <w:szCs w:val="28"/>
        </w:rPr>
        <w:t>（</w:t>
      </w:r>
      <w:r>
        <w:rPr>
          <w:rFonts w:hint="eastAsia" w:ascii="楷体_GB2312" w:hAnsi="楷体_GB2312" w:eastAsia="楷体_GB2312" w:cs="楷体_GB2312"/>
          <w:b/>
          <w:bCs/>
          <w:color w:val="000000"/>
          <w:kern w:val="0"/>
          <w:sz w:val="28"/>
          <w:szCs w:val="28"/>
          <w:lang w:val="en-US" w:eastAsia="zh-CN"/>
        </w:rPr>
        <w:t>2021</w:t>
      </w:r>
      <w:r>
        <w:rPr>
          <w:rFonts w:hint="eastAsia" w:ascii="楷体_GB2312" w:hAnsi="楷体_GB2312" w:eastAsia="楷体_GB2312" w:cs="楷体_GB2312"/>
          <w:b/>
          <w:bCs/>
          <w:color w:val="000000"/>
          <w:kern w:val="0"/>
          <w:sz w:val="28"/>
          <w:szCs w:val="28"/>
        </w:rPr>
        <w:t>年度）</w:t>
      </w:r>
    </w:p>
    <w:tbl>
      <w:tblPr>
        <w:tblStyle w:val="9"/>
        <w:tblW w:w="10060" w:type="dxa"/>
        <w:jc w:val="center"/>
        <w:tblLayout w:type="fixed"/>
        <w:tblCellMar>
          <w:top w:w="0" w:type="dxa"/>
          <w:left w:w="108" w:type="dxa"/>
          <w:bottom w:w="0" w:type="dxa"/>
          <w:right w:w="108" w:type="dxa"/>
        </w:tblCellMar>
      </w:tblPr>
      <w:tblGrid>
        <w:gridCol w:w="566"/>
        <w:gridCol w:w="779"/>
        <w:gridCol w:w="1430"/>
        <w:gridCol w:w="820"/>
        <w:gridCol w:w="1290"/>
        <w:gridCol w:w="1180"/>
        <w:gridCol w:w="1504"/>
        <w:gridCol w:w="567"/>
        <w:gridCol w:w="580"/>
        <w:gridCol w:w="709"/>
        <w:gridCol w:w="635"/>
      </w:tblGrid>
      <w:tr>
        <w:tblPrEx>
          <w:tblCellMar>
            <w:top w:w="0" w:type="dxa"/>
            <w:left w:w="108" w:type="dxa"/>
            <w:bottom w:w="0" w:type="dxa"/>
            <w:right w:w="108" w:type="dxa"/>
          </w:tblCellMar>
        </w:tblPrEx>
        <w:trPr>
          <w:trHeight w:val="302" w:hRule="exact"/>
          <w:jc w:val="center"/>
        </w:trPr>
        <w:tc>
          <w:tcPr>
            <w:tcW w:w="1345"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项目名称</w:t>
            </w:r>
          </w:p>
        </w:tc>
        <w:tc>
          <w:tcPr>
            <w:tcW w:w="8715" w:type="dxa"/>
            <w:gridSpan w:val="9"/>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eastAsia="zh-CN"/>
              </w:rPr>
            </w:pPr>
            <w:r>
              <w:rPr>
                <w:rFonts w:hint="eastAsia" w:ascii="宋体" w:hAnsi="宋体" w:eastAsia="宋体" w:cs="宋体"/>
                <w:color w:val="000000"/>
                <w:kern w:val="0"/>
                <w:sz w:val="20"/>
                <w:lang w:val="en-US" w:eastAsia="zh-CN"/>
              </w:rPr>
              <w:t>物联网产业创新中心（含深圳产业加速器）运营管理服务项目</w:t>
            </w:r>
          </w:p>
        </w:tc>
      </w:tr>
      <w:tr>
        <w:tblPrEx>
          <w:tblCellMar>
            <w:top w:w="0" w:type="dxa"/>
            <w:left w:w="108" w:type="dxa"/>
            <w:bottom w:w="0" w:type="dxa"/>
            <w:right w:w="108" w:type="dxa"/>
          </w:tblCellMar>
        </w:tblPrEx>
        <w:trPr>
          <w:trHeight w:val="302" w:hRule="exact"/>
          <w:jc w:val="center"/>
        </w:trPr>
        <w:tc>
          <w:tcPr>
            <w:tcW w:w="1345"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主管部门</w:t>
            </w:r>
          </w:p>
        </w:tc>
        <w:tc>
          <w:tcPr>
            <w:tcW w:w="4720" w:type="dxa"/>
            <w:gridSpan w:val="4"/>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南昌市红谷滩区商务局</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实施单位</w:t>
            </w:r>
          </w:p>
        </w:tc>
        <w:tc>
          <w:tcPr>
            <w:tcW w:w="2491" w:type="dxa"/>
            <w:gridSpan w:val="4"/>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南昌市红谷滩区商务局</w:t>
            </w:r>
          </w:p>
        </w:tc>
      </w:tr>
      <w:tr>
        <w:tblPrEx>
          <w:tblCellMar>
            <w:top w:w="0" w:type="dxa"/>
            <w:left w:w="108" w:type="dxa"/>
            <w:bottom w:w="0" w:type="dxa"/>
            <w:right w:w="108" w:type="dxa"/>
          </w:tblCellMar>
        </w:tblPrEx>
        <w:trPr>
          <w:trHeight w:val="403" w:hRule="atLeast"/>
          <w:jc w:val="center"/>
        </w:trPr>
        <w:tc>
          <w:tcPr>
            <w:tcW w:w="134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eastAsia="zh-CN"/>
              </w:rPr>
            </w:pPr>
            <w:r>
              <w:rPr>
                <w:rFonts w:hint="eastAsia" w:ascii="宋体" w:hAnsi="宋体" w:eastAsia="宋体" w:cs="宋体"/>
                <w:color w:val="000000"/>
                <w:kern w:val="0"/>
                <w:sz w:val="20"/>
              </w:rPr>
              <w:t>项目资金</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（万元）</w:t>
            </w:r>
          </w:p>
        </w:tc>
        <w:tc>
          <w:tcPr>
            <w:tcW w:w="225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29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rPr>
                <w:rFonts w:hint="eastAsia" w:ascii="宋体" w:hAnsi="宋体" w:eastAsia="宋体" w:cs="宋体"/>
                <w:color w:val="000000"/>
                <w:kern w:val="0"/>
                <w:sz w:val="20"/>
              </w:rPr>
            </w:pPr>
            <w:r>
              <w:rPr>
                <w:rFonts w:hint="eastAsia" w:ascii="宋体" w:hAnsi="宋体" w:eastAsia="宋体" w:cs="宋体"/>
                <w:color w:val="000000"/>
                <w:kern w:val="0"/>
                <w:sz w:val="20"/>
              </w:rPr>
              <w:t>年初预算数</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全年预算数</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全年执行数</w:t>
            </w:r>
          </w:p>
        </w:tc>
        <w:tc>
          <w:tcPr>
            <w:tcW w:w="1147" w:type="dxa"/>
            <w:gridSpan w:val="2"/>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分值</w:t>
            </w:r>
          </w:p>
        </w:tc>
        <w:tc>
          <w:tcPr>
            <w:tcW w:w="709"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执行率</w:t>
            </w:r>
          </w:p>
        </w:tc>
        <w:tc>
          <w:tcPr>
            <w:tcW w:w="635"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得分</w:t>
            </w:r>
          </w:p>
        </w:tc>
      </w:tr>
      <w:tr>
        <w:tblPrEx>
          <w:tblCellMar>
            <w:top w:w="0" w:type="dxa"/>
            <w:left w:w="108" w:type="dxa"/>
            <w:bottom w:w="0" w:type="dxa"/>
            <w:right w:w="108" w:type="dxa"/>
          </w:tblCellMar>
        </w:tblPrEx>
        <w:trPr>
          <w:trHeight w:val="302" w:hRule="exact"/>
          <w:jc w:val="center"/>
        </w:trPr>
        <w:tc>
          <w:tcPr>
            <w:tcW w:w="13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25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rPr>
                <w:rFonts w:hint="eastAsia" w:ascii="宋体" w:hAnsi="宋体" w:eastAsia="宋体" w:cs="宋体"/>
                <w:color w:val="000000"/>
                <w:kern w:val="0"/>
                <w:sz w:val="20"/>
              </w:rPr>
            </w:pPr>
            <w:r>
              <w:rPr>
                <w:rFonts w:hint="eastAsia" w:ascii="宋体" w:hAnsi="宋体" w:eastAsia="宋体" w:cs="宋体"/>
                <w:color w:val="000000"/>
                <w:kern w:val="0"/>
                <w:sz w:val="20"/>
              </w:rPr>
              <w:t>年度资金总额</w:t>
            </w:r>
          </w:p>
        </w:tc>
        <w:tc>
          <w:tcPr>
            <w:tcW w:w="129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0</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962.98</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942.98</w:t>
            </w:r>
          </w:p>
        </w:tc>
        <w:tc>
          <w:tcPr>
            <w:tcW w:w="1147" w:type="dxa"/>
            <w:gridSpan w:val="2"/>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10</w:t>
            </w:r>
          </w:p>
        </w:tc>
        <w:tc>
          <w:tcPr>
            <w:tcW w:w="709"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100%</w:t>
            </w:r>
          </w:p>
        </w:tc>
        <w:tc>
          <w:tcPr>
            <w:tcW w:w="635"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9.8</w:t>
            </w:r>
          </w:p>
        </w:tc>
      </w:tr>
      <w:tr>
        <w:tblPrEx>
          <w:tblCellMar>
            <w:top w:w="0" w:type="dxa"/>
            <w:left w:w="108" w:type="dxa"/>
            <w:bottom w:w="0" w:type="dxa"/>
            <w:right w:w="108" w:type="dxa"/>
          </w:tblCellMar>
        </w:tblPrEx>
        <w:trPr>
          <w:trHeight w:val="291" w:hRule="atLeast"/>
          <w:jc w:val="center"/>
        </w:trPr>
        <w:tc>
          <w:tcPr>
            <w:tcW w:w="13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25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其中：当年财政拨款</w:t>
            </w:r>
          </w:p>
        </w:tc>
        <w:tc>
          <w:tcPr>
            <w:tcW w:w="129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0</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942.98</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942.98</w:t>
            </w:r>
          </w:p>
        </w:tc>
        <w:tc>
          <w:tcPr>
            <w:tcW w:w="1147" w:type="dxa"/>
            <w:gridSpan w:val="2"/>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w:t>
            </w:r>
          </w:p>
        </w:tc>
        <w:tc>
          <w:tcPr>
            <w:tcW w:w="709"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100%</w:t>
            </w:r>
          </w:p>
        </w:tc>
        <w:tc>
          <w:tcPr>
            <w:tcW w:w="635"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w:t>
            </w:r>
          </w:p>
        </w:tc>
      </w:tr>
      <w:tr>
        <w:tblPrEx>
          <w:tblCellMar>
            <w:top w:w="0" w:type="dxa"/>
            <w:left w:w="108" w:type="dxa"/>
            <w:bottom w:w="0" w:type="dxa"/>
            <w:right w:w="108" w:type="dxa"/>
          </w:tblCellMar>
        </w:tblPrEx>
        <w:trPr>
          <w:trHeight w:val="277" w:hRule="atLeast"/>
          <w:jc w:val="center"/>
        </w:trPr>
        <w:tc>
          <w:tcPr>
            <w:tcW w:w="13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25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 xml:space="preserve">      上年结转资金</w:t>
            </w:r>
          </w:p>
        </w:tc>
        <w:tc>
          <w:tcPr>
            <w:tcW w:w="129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147" w:type="dxa"/>
            <w:gridSpan w:val="2"/>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w:t>
            </w:r>
          </w:p>
        </w:tc>
        <w:tc>
          <w:tcPr>
            <w:tcW w:w="709"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635"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w:t>
            </w:r>
          </w:p>
        </w:tc>
      </w:tr>
      <w:tr>
        <w:tblPrEx>
          <w:tblCellMar>
            <w:top w:w="0" w:type="dxa"/>
            <w:left w:w="108" w:type="dxa"/>
            <w:bottom w:w="0" w:type="dxa"/>
            <w:right w:w="108" w:type="dxa"/>
          </w:tblCellMar>
        </w:tblPrEx>
        <w:trPr>
          <w:trHeight w:val="302" w:hRule="exact"/>
          <w:jc w:val="center"/>
        </w:trPr>
        <w:tc>
          <w:tcPr>
            <w:tcW w:w="134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25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 xml:space="preserve">  其他资金</w:t>
            </w:r>
          </w:p>
        </w:tc>
        <w:tc>
          <w:tcPr>
            <w:tcW w:w="129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147" w:type="dxa"/>
            <w:gridSpan w:val="2"/>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w:t>
            </w:r>
          </w:p>
        </w:tc>
        <w:tc>
          <w:tcPr>
            <w:tcW w:w="709"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635"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w:t>
            </w:r>
          </w:p>
        </w:tc>
      </w:tr>
      <w:tr>
        <w:tblPrEx>
          <w:tblCellMar>
            <w:top w:w="0" w:type="dxa"/>
            <w:left w:w="108" w:type="dxa"/>
            <w:bottom w:w="0" w:type="dxa"/>
            <w:right w:w="108" w:type="dxa"/>
          </w:tblCellMar>
        </w:tblPrEx>
        <w:trPr>
          <w:trHeight w:val="302" w:hRule="exact"/>
          <w:jc w:val="center"/>
        </w:trPr>
        <w:tc>
          <w:tcPr>
            <w:tcW w:w="566"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年度总体目标</w:t>
            </w:r>
          </w:p>
        </w:tc>
        <w:tc>
          <w:tcPr>
            <w:tcW w:w="5499"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预期目标</w:t>
            </w:r>
          </w:p>
        </w:tc>
        <w:tc>
          <w:tcPr>
            <w:tcW w:w="3995"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实际完成情况</w:t>
            </w:r>
          </w:p>
        </w:tc>
      </w:tr>
      <w:tr>
        <w:tblPrEx>
          <w:tblCellMar>
            <w:top w:w="0" w:type="dxa"/>
            <w:left w:w="108" w:type="dxa"/>
            <w:bottom w:w="0" w:type="dxa"/>
            <w:right w:w="108" w:type="dxa"/>
          </w:tblCellMar>
        </w:tblPrEx>
        <w:trPr>
          <w:trHeight w:val="3071" w:hRule="exact"/>
          <w:jc w:val="center"/>
        </w:trPr>
        <w:tc>
          <w:tcPr>
            <w:tcW w:w="566"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5499" w:type="dxa"/>
            <w:gridSpan w:val="5"/>
            <w:tcBorders>
              <w:top w:val="single" w:color="auto" w:sz="4" w:space="0"/>
              <w:left w:val="nil"/>
              <w:bottom w:val="single" w:color="auto" w:sz="4" w:space="0"/>
              <w:right w:val="single" w:color="auto" w:sz="4" w:space="0"/>
            </w:tcBorders>
            <w:noWrap w:val="0"/>
            <w:vAlign w:val="center"/>
          </w:tcPr>
          <w:p>
            <w:pPr>
              <w:widowControl/>
              <w:numPr>
                <w:ilvl w:val="0"/>
                <w:numId w:val="4"/>
              </w:numPr>
              <w:spacing w:line="240" w:lineRule="exact"/>
              <w:ind w:right="-66" w:rightChars="-30"/>
              <w:jc w:val="left"/>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创新中心税收累计达到1000万元；</w:t>
            </w:r>
          </w:p>
          <w:p>
            <w:pPr>
              <w:widowControl/>
              <w:numPr>
                <w:numId w:val="0"/>
              </w:numPr>
              <w:spacing w:line="240" w:lineRule="exact"/>
              <w:ind w:right="-66" w:rightChars="-30"/>
              <w:jc w:val="left"/>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2、深圳加速器项目飞地注册2家，推荐考察5家，产业中心挂牌合作店2个；</w:t>
            </w:r>
          </w:p>
          <w:p>
            <w:pPr>
              <w:widowControl/>
              <w:numPr>
                <w:numId w:val="0"/>
              </w:numPr>
              <w:spacing w:line="240" w:lineRule="exact"/>
              <w:ind w:leftChars="0" w:right="-66" w:rightChars="-30"/>
              <w:jc w:val="left"/>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3、获得省级荣誉2个；</w:t>
            </w:r>
          </w:p>
          <w:p>
            <w:pPr>
              <w:widowControl/>
              <w:numPr>
                <w:numId w:val="0"/>
              </w:numPr>
              <w:spacing w:line="240" w:lineRule="exact"/>
              <w:ind w:leftChars="0" w:right="-66" w:rightChars="-30"/>
              <w:jc w:val="left"/>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4、媒体信息发布130余次；</w:t>
            </w:r>
          </w:p>
          <w:p>
            <w:pPr>
              <w:widowControl/>
              <w:numPr>
                <w:ilvl w:val="0"/>
                <w:numId w:val="0"/>
              </w:numPr>
              <w:spacing w:line="240" w:lineRule="exact"/>
              <w:ind w:right="-66" w:rightChars="-30"/>
              <w:jc w:val="left"/>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5、创业培训500余人；</w:t>
            </w:r>
          </w:p>
          <w:p>
            <w:pPr>
              <w:widowControl/>
              <w:numPr>
                <w:ilvl w:val="0"/>
                <w:numId w:val="0"/>
              </w:numPr>
              <w:spacing w:line="240" w:lineRule="exact"/>
              <w:ind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6、线上平台完好率100%；</w:t>
            </w:r>
          </w:p>
        </w:tc>
        <w:tc>
          <w:tcPr>
            <w:tcW w:w="3995" w:type="dxa"/>
            <w:gridSpan w:val="5"/>
            <w:tcBorders>
              <w:top w:val="single" w:color="auto" w:sz="4" w:space="0"/>
              <w:left w:val="nil"/>
              <w:bottom w:val="single" w:color="auto" w:sz="4" w:space="0"/>
              <w:right w:val="single" w:color="auto" w:sz="4" w:space="0"/>
            </w:tcBorders>
            <w:noWrap w:val="0"/>
            <w:vAlign w:val="center"/>
          </w:tcPr>
          <w:p>
            <w:pPr>
              <w:widowControl/>
              <w:numPr>
                <w:numId w:val="0"/>
              </w:numPr>
              <w:spacing w:line="240" w:lineRule="exact"/>
              <w:ind w:right="-66" w:rightChars="-30"/>
              <w:jc w:val="left"/>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1、创新中心税收累计达到1000万元；</w:t>
            </w:r>
          </w:p>
          <w:p>
            <w:pPr>
              <w:widowControl/>
              <w:numPr>
                <w:ilvl w:val="0"/>
                <w:numId w:val="0"/>
              </w:numPr>
              <w:spacing w:line="240" w:lineRule="exact"/>
              <w:ind w:right="-66" w:rightChars="-30"/>
              <w:jc w:val="left"/>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2、深圳加速器项目飞地注册2家，推荐考察5家，产业中心挂牌合作店2个；</w:t>
            </w:r>
          </w:p>
          <w:p>
            <w:pPr>
              <w:widowControl/>
              <w:numPr>
                <w:numId w:val="0"/>
              </w:numPr>
              <w:spacing w:line="240" w:lineRule="exact"/>
              <w:ind w:leftChars="0" w:right="-66" w:rightChars="-30"/>
              <w:jc w:val="left"/>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3、获得省级荣誉2个；</w:t>
            </w:r>
          </w:p>
          <w:p>
            <w:pPr>
              <w:widowControl/>
              <w:numPr>
                <w:ilvl w:val="0"/>
                <w:numId w:val="0"/>
              </w:numPr>
              <w:spacing w:line="240" w:lineRule="exact"/>
              <w:ind w:leftChars="0" w:right="-66" w:rightChars="-30"/>
              <w:jc w:val="left"/>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4、媒体信息发布130余次；</w:t>
            </w:r>
          </w:p>
          <w:p>
            <w:pPr>
              <w:widowControl/>
              <w:numPr>
                <w:ilvl w:val="0"/>
                <w:numId w:val="0"/>
              </w:numPr>
              <w:spacing w:line="240" w:lineRule="exact"/>
              <w:ind w:right="-66" w:rightChars="-30"/>
              <w:jc w:val="left"/>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5、创业培训500余人；</w:t>
            </w:r>
          </w:p>
          <w:p>
            <w:pPr>
              <w:widowControl/>
              <w:spacing w:line="240" w:lineRule="exact"/>
              <w:ind w:left="-66" w:leftChars="-30" w:right="-66" w:rightChars="-30"/>
              <w:jc w:val="left"/>
              <w:rPr>
                <w:rFonts w:hint="eastAsia" w:ascii="宋体" w:hAnsi="宋体" w:eastAsia="宋体" w:cs="宋体"/>
                <w:color w:val="000000"/>
                <w:kern w:val="0"/>
                <w:sz w:val="20"/>
                <w:lang w:eastAsia="zh-CN"/>
              </w:rPr>
            </w:pPr>
            <w:r>
              <w:rPr>
                <w:rFonts w:hint="eastAsia" w:ascii="宋体" w:hAnsi="宋体" w:eastAsia="宋体" w:cs="宋体"/>
                <w:color w:val="000000"/>
                <w:kern w:val="0"/>
                <w:sz w:val="20"/>
                <w:lang w:val="en-US" w:eastAsia="zh-CN"/>
              </w:rPr>
              <w:t>6、线上平台完好率100%；</w:t>
            </w:r>
          </w:p>
        </w:tc>
      </w:tr>
      <w:tr>
        <w:tblPrEx>
          <w:tblCellMar>
            <w:top w:w="0" w:type="dxa"/>
            <w:left w:w="108" w:type="dxa"/>
            <w:bottom w:w="0" w:type="dxa"/>
            <w:right w:w="108" w:type="dxa"/>
          </w:tblCellMar>
        </w:tblPrEx>
        <w:trPr>
          <w:trHeight w:val="645" w:hRule="exact"/>
          <w:jc w:val="center"/>
        </w:trPr>
        <w:tc>
          <w:tcPr>
            <w:tcW w:w="566" w:type="dxa"/>
            <w:vMerge w:val="restart"/>
            <w:tcBorders>
              <w:top w:val="nil"/>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eastAsia="zh-CN"/>
              </w:rPr>
            </w:pPr>
            <w:r>
              <w:rPr>
                <w:rFonts w:hint="eastAsia" w:ascii="宋体" w:hAnsi="宋体" w:eastAsia="宋体" w:cs="宋体"/>
                <w:color w:val="000000"/>
                <w:kern w:val="0"/>
                <w:sz w:val="20"/>
              </w:rPr>
              <w:t>绩</w:t>
            </w:r>
          </w:p>
          <w:p>
            <w:pPr>
              <w:widowControl/>
              <w:spacing w:line="240" w:lineRule="exact"/>
              <w:ind w:left="-66" w:leftChars="-30" w:right="-66" w:rightChars="-30"/>
              <w:jc w:val="center"/>
              <w:rPr>
                <w:rFonts w:hint="eastAsia" w:ascii="宋体" w:hAnsi="宋体" w:eastAsia="宋体" w:cs="宋体"/>
                <w:color w:val="000000"/>
                <w:kern w:val="0"/>
                <w:sz w:val="20"/>
                <w:lang w:eastAsia="zh-CN"/>
              </w:rPr>
            </w:pPr>
            <w:r>
              <w:rPr>
                <w:rFonts w:hint="eastAsia" w:ascii="宋体" w:hAnsi="宋体" w:eastAsia="宋体" w:cs="宋体"/>
                <w:color w:val="000000"/>
                <w:kern w:val="0"/>
                <w:sz w:val="20"/>
              </w:rPr>
              <w:t>效</w:t>
            </w:r>
          </w:p>
          <w:p>
            <w:pPr>
              <w:widowControl/>
              <w:spacing w:line="240" w:lineRule="exact"/>
              <w:ind w:left="-66" w:leftChars="-30" w:right="-66" w:rightChars="-30"/>
              <w:jc w:val="center"/>
              <w:rPr>
                <w:rFonts w:hint="eastAsia" w:ascii="宋体" w:hAnsi="宋体" w:eastAsia="宋体" w:cs="宋体"/>
                <w:color w:val="000000"/>
                <w:kern w:val="0"/>
                <w:sz w:val="20"/>
                <w:lang w:eastAsia="zh-CN"/>
              </w:rPr>
            </w:pPr>
            <w:r>
              <w:rPr>
                <w:rFonts w:hint="eastAsia" w:ascii="宋体" w:hAnsi="宋体" w:eastAsia="宋体" w:cs="宋体"/>
                <w:color w:val="000000"/>
                <w:kern w:val="0"/>
                <w:sz w:val="20"/>
              </w:rPr>
              <w:t>指</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标</w:t>
            </w:r>
          </w:p>
        </w:tc>
        <w:tc>
          <w:tcPr>
            <w:tcW w:w="779"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一级</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指标</w:t>
            </w:r>
          </w:p>
        </w:tc>
        <w:tc>
          <w:tcPr>
            <w:tcW w:w="143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二级指标</w:t>
            </w: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三级指标</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年度</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指标值</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实际</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完成值</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分值</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得分</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偏差原因分析及改进措施</w:t>
            </w:r>
          </w:p>
        </w:tc>
      </w:tr>
      <w:tr>
        <w:tblPrEx>
          <w:tblCellMar>
            <w:top w:w="0" w:type="dxa"/>
            <w:left w:w="108" w:type="dxa"/>
            <w:bottom w:w="0" w:type="dxa"/>
            <w:right w:w="108" w:type="dxa"/>
          </w:tblCellMar>
        </w:tblPrEx>
        <w:trPr>
          <w:trHeight w:val="583"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bookmarkStart w:id="0" w:name="_GoBack" w:colFirst="8" w:colLast="8"/>
          </w:p>
        </w:tc>
        <w:tc>
          <w:tcPr>
            <w:tcW w:w="77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产出</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指标</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(50分）</w:t>
            </w:r>
          </w:p>
        </w:tc>
        <w:tc>
          <w:tcPr>
            <w:tcW w:w="143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数量指标</w:t>
            </w: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创新中心税收</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i w:val="0"/>
                <w:iCs w:val="0"/>
                <w:color w:val="000000"/>
                <w:kern w:val="0"/>
                <w:sz w:val="18"/>
                <w:szCs w:val="18"/>
                <w:u w:val="none"/>
                <w:lang w:val="en-US" w:eastAsia="zh-CN" w:bidi="ar"/>
              </w:rPr>
              <w:t>≥1500</w:t>
            </w:r>
            <w:r>
              <w:rPr>
                <w:rFonts w:hint="eastAsia" w:ascii="宋体" w:hAnsi="宋体" w:eastAsia="宋体" w:cs="宋体"/>
                <w:color w:val="000000"/>
                <w:szCs w:val="21"/>
                <w:lang w:val="en-US" w:eastAsia="zh-CN"/>
              </w:rPr>
              <w:t>万元</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4374万元</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20</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20</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bookmarkEnd w:id="0"/>
      <w:tr>
        <w:tblPrEx>
          <w:tblCellMar>
            <w:top w:w="0" w:type="dxa"/>
            <w:left w:w="108" w:type="dxa"/>
            <w:bottom w:w="0" w:type="dxa"/>
            <w:right w:w="108" w:type="dxa"/>
          </w:tblCellMar>
        </w:tblPrEx>
        <w:trPr>
          <w:trHeight w:val="1246"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default" w:ascii="宋体" w:hAnsi="宋体" w:eastAsia="宋体" w:cs="宋体"/>
                <w:color w:val="auto"/>
                <w:kern w:val="0"/>
                <w:sz w:val="20"/>
                <w:lang w:val="en-US" w:eastAsia="zh-CN"/>
              </w:rPr>
            </w:pPr>
            <w:r>
              <w:rPr>
                <w:rFonts w:hint="eastAsia" w:ascii="宋体" w:hAnsi="宋体" w:eastAsia="宋体" w:cs="宋体"/>
                <w:color w:val="auto"/>
                <w:kern w:val="0"/>
                <w:sz w:val="20"/>
                <w:lang w:val="en-US" w:eastAsia="zh-CN"/>
              </w:rPr>
              <w:t>深圳加速器飞地注册</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auto"/>
                <w:kern w:val="0"/>
                <w:sz w:val="20"/>
                <w:lang w:val="en-US" w:eastAsia="zh-CN"/>
              </w:rPr>
            </w:pPr>
            <w:r>
              <w:rPr>
                <w:rFonts w:hint="eastAsia" w:ascii="宋体" w:hAnsi="宋体" w:eastAsia="宋体" w:cs="宋体"/>
                <w:color w:val="auto"/>
                <w:kern w:val="0"/>
                <w:sz w:val="20"/>
              </w:rPr>
              <w:t>≥</w:t>
            </w:r>
            <w:r>
              <w:rPr>
                <w:rFonts w:hint="eastAsia" w:ascii="宋体" w:hAnsi="宋体" w:eastAsia="宋体" w:cs="宋体"/>
                <w:color w:val="auto"/>
                <w:kern w:val="0"/>
                <w:sz w:val="20"/>
                <w:lang w:val="en-US" w:eastAsia="zh-CN"/>
              </w:rPr>
              <w:t>2家</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auto"/>
                <w:kern w:val="0"/>
                <w:sz w:val="20"/>
                <w:lang w:val="en-US" w:eastAsia="zh-CN"/>
              </w:rPr>
            </w:pPr>
            <w:r>
              <w:rPr>
                <w:rFonts w:hint="eastAsia" w:ascii="宋体" w:hAnsi="宋体" w:cs="宋体"/>
                <w:color w:val="auto"/>
                <w:kern w:val="0"/>
                <w:sz w:val="20"/>
                <w:lang w:val="en-US" w:eastAsia="zh-CN"/>
              </w:rPr>
              <w:t>2家</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542"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媒体信息发布量</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rPr>
              <w:t>≥</w:t>
            </w:r>
            <w:r>
              <w:rPr>
                <w:rFonts w:hint="eastAsia" w:ascii="宋体" w:hAnsi="宋体" w:eastAsia="宋体" w:cs="宋体"/>
                <w:color w:val="000000"/>
                <w:kern w:val="0"/>
                <w:sz w:val="20"/>
                <w:lang w:val="en-US" w:eastAsia="zh-CN"/>
              </w:rPr>
              <w:t>130次</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rPr>
            </w:pPr>
            <w:r>
              <w:rPr>
                <w:rFonts w:hint="eastAsia" w:ascii="宋体" w:hAnsi="宋体" w:cs="宋体"/>
                <w:color w:val="000000"/>
                <w:kern w:val="0"/>
                <w:sz w:val="20"/>
                <w:lang w:val="en-US" w:eastAsia="zh-CN"/>
              </w:rPr>
              <w:t>142</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502"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质量指标</w:t>
            </w: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资金拨付的合法合规性</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rPr>
              <w:t>符合规定</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符合规定</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509"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时效指标</w:t>
            </w: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考核</w:t>
            </w:r>
            <w:r>
              <w:rPr>
                <w:rFonts w:hint="eastAsia" w:ascii="宋体" w:hAnsi="宋体" w:eastAsia="宋体" w:cs="宋体"/>
                <w:color w:val="000000"/>
                <w:kern w:val="0"/>
                <w:sz w:val="20"/>
              </w:rPr>
              <w:t>完成时效性</w:t>
            </w:r>
          </w:p>
        </w:tc>
        <w:tc>
          <w:tcPr>
            <w:tcW w:w="1180" w:type="dxa"/>
            <w:tcBorders>
              <w:top w:val="nil"/>
              <w:left w:val="nil"/>
              <w:bottom w:val="single" w:color="auto" w:sz="4" w:space="0"/>
              <w:right w:val="single" w:color="auto" w:sz="4" w:space="0"/>
            </w:tcBorders>
            <w:noWrap w:val="0"/>
            <w:vAlign w:val="center"/>
          </w:tcPr>
          <w:p>
            <w:pPr>
              <w:widowControl/>
              <w:spacing w:line="240" w:lineRule="exact"/>
              <w:ind w:right="-66" w:rightChars="-30"/>
              <w:jc w:val="both"/>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按</w:t>
            </w:r>
            <w:r>
              <w:rPr>
                <w:rFonts w:hint="eastAsia" w:ascii="宋体" w:hAnsi="宋体" w:eastAsia="宋体" w:cs="宋体"/>
                <w:color w:val="000000"/>
                <w:kern w:val="0"/>
                <w:sz w:val="20"/>
              </w:rPr>
              <w:t>计划完成</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按</w:t>
            </w:r>
            <w:r>
              <w:rPr>
                <w:rFonts w:hint="eastAsia" w:ascii="宋体" w:hAnsi="宋体" w:eastAsia="宋体" w:cs="宋体"/>
                <w:color w:val="000000"/>
                <w:kern w:val="0"/>
                <w:sz w:val="20"/>
              </w:rPr>
              <w:t>计划完成</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548"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eastAsia" w:ascii="宋体" w:hAnsi="宋体" w:eastAsia="宋体" w:cs="宋体"/>
                <w:color w:val="000000"/>
                <w:kern w:val="0"/>
                <w:sz w:val="20"/>
              </w:rPr>
            </w:pPr>
            <w:r>
              <w:rPr>
                <w:rFonts w:hint="eastAsia" w:ascii="宋体" w:hAnsi="宋体" w:eastAsia="宋体" w:cs="宋体"/>
                <w:color w:val="000000"/>
                <w:kern w:val="0"/>
                <w:sz w:val="20"/>
              </w:rPr>
              <w:t>经费支出时效性</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按</w:t>
            </w:r>
            <w:r>
              <w:rPr>
                <w:rFonts w:hint="eastAsia" w:ascii="宋体" w:hAnsi="宋体" w:eastAsia="宋体" w:cs="宋体"/>
                <w:color w:val="000000"/>
                <w:kern w:val="0"/>
                <w:sz w:val="20"/>
              </w:rPr>
              <w:t>计划支出</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按</w:t>
            </w:r>
            <w:r>
              <w:rPr>
                <w:rFonts w:hint="eastAsia" w:ascii="宋体" w:hAnsi="宋体" w:eastAsia="宋体" w:cs="宋体"/>
                <w:color w:val="000000"/>
                <w:kern w:val="0"/>
                <w:sz w:val="20"/>
              </w:rPr>
              <w:t>计划支出</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cs="宋体"/>
                <w:color w:val="000000"/>
                <w:kern w:val="0"/>
                <w:sz w:val="20"/>
                <w:lang w:val="en-US" w:eastAsia="zh-CN"/>
              </w:rPr>
              <w:t>5</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462"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成本指标</w:t>
            </w:r>
          </w:p>
          <w:p>
            <w:pPr>
              <w:widowControl/>
              <w:spacing w:line="240" w:lineRule="exact"/>
              <w:ind w:left="-66" w:leftChars="-30" w:right="-66" w:rightChars="-30"/>
              <w:jc w:val="center"/>
              <w:rPr>
                <w:rFonts w:hint="eastAsia" w:ascii="宋体" w:hAnsi="宋体" w:eastAsia="宋体" w:cs="宋体"/>
                <w:color w:val="000000"/>
                <w:kern w:val="0"/>
                <w:sz w:val="20"/>
              </w:rPr>
            </w:pPr>
          </w:p>
          <w:p>
            <w:pPr>
              <w:widowControl/>
              <w:spacing w:line="240" w:lineRule="exact"/>
              <w:ind w:left="-66" w:leftChars="-30" w:right="-66" w:rightChars="-30"/>
              <w:jc w:val="center"/>
              <w:rPr>
                <w:rFonts w:hint="eastAsia" w:ascii="宋体" w:hAnsi="宋体" w:eastAsia="宋体" w:cs="宋体"/>
                <w:color w:val="000000"/>
                <w:kern w:val="0"/>
                <w:sz w:val="20"/>
              </w:rPr>
            </w:pP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预算</w:t>
            </w:r>
            <w:r>
              <w:rPr>
                <w:rFonts w:hint="eastAsia" w:ascii="宋体" w:hAnsi="宋体" w:eastAsia="宋体" w:cs="宋体"/>
                <w:color w:val="000000"/>
                <w:kern w:val="0"/>
                <w:sz w:val="20"/>
              </w:rPr>
              <w:t>总成本</w:t>
            </w:r>
          </w:p>
        </w:tc>
        <w:tc>
          <w:tcPr>
            <w:tcW w:w="11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rPr>
              <w:t>≤</w:t>
            </w:r>
            <w:r>
              <w:rPr>
                <w:rFonts w:hint="eastAsia" w:ascii="宋体" w:hAnsi="宋体" w:eastAsia="宋体" w:cs="宋体"/>
                <w:color w:val="000000"/>
                <w:kern w:val="0"/>
                <w:sz w:val="20"/>
                <w:lang w:val="en-US" w:eastAsia="zh-CN"/>
              </w:rPr>
              <w:t>962.98万元</w:t>
            </w:r>
          </w:p>
        </w:tc>
        <w:tc>
          <w:tcPr>
            <w:tcW w:w="1504"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942.98万元</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5</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5</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552" w:hRule="exact"/>
          <w:jc w:val="center"/>
        </w:trPr>
        <w:tc>
          <w:tcPr>
            <w:tcW w:w="566" w:type="dxa"/>
            <w:vMerge w:val="continue"/>
            <w:tcBorders>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效益</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指标</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w:t>
            </w:r>
            <w:r>
              <w:rPr>
                <w:rFonts w:hint="eastAsia" w:ascii="宋体" w:hAnsi="宋体" w:eastAsia="宋体" w:cs="宋体"/>
                <w:color w:val="000000"/>
                <w:kern w:val="0"/>
                <w:sz w:val="20"/>
                <w:lang w:val="en-US" w:eastAsia="zh-CN"/>
              </w:rPr>
              <w:t>40</w:t>
            </w:r>
            <w:r>
              <w:rPr>
                <w:rFonts w:hint="eastAsia" w:ascii="宋体" w:hAnsi="宋体" w:eastAsia="宋体" w:cs="宋体"/>
                <w:color w:val="000000"/>
                <w:kern w:val="0"/>
                <w:sz w:val="20"/>
              </w:rPr>
              <w:t>分）</w:t>
            </w:r>
          </w:p>
        </w:tc>
        <w:tc>
          <w:tcPr>
            <w:tcW w:w="143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社会效益</w:t>
            </w:r>
          </w:p>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指标</w:t>
            </w:r>
          </w:p>
        </w:tc>
        <w:tc>
          <w:tcPr>
            <w:tcW w:w="211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6" w:rightChars="-30"/>
              <w:jc w:val="left"/>
              <w:rPr>
                <w:rFonts w:hint="default" w:ascii="宋体" w:hAnsi="宋体" w:eastAsia="宋体" w:cs="宋体"/>
                <w:color w:val="000000"/>
                <w:kern w:val="0"/>
                <w:sz w:val="20"/>
                <w:szCs w:val="24"/>
                <w:lang w:val="en-US" w:eastAsia="zh-CN" w:bidi="ar-SA"/>
              </w:rPr>
            </w:pPr>
            <w:r>
              <w:rPr>
                <w:rFonts w:hint="eastAsia" w:ascii="宋体" w:hAnsi="宋体" w:eastAsia="宋体" w:cs="宋体"/>
                <w:color w:val="000000"/>
                <w:kern w:val="0"/>
                <w:sz w:val="20"/>
                <w:szCs w:val="24"/>
                <w:lang w:val="en-US" w:eastAsia="zh-CN" w:bidi="ar-SA"/>
              </w:rPr>
              <w:t>对物联网经济发展的影响</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明显提升</w:t>
            </w:r>
          </w:p>
        </w:tc>
        <w:tc>
          <w:tcPr>
            <w:tcW w:w="15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left"/>
              <w:rPr>
                <w:rFonts w:hint="eastAsia"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明显提升</w:t>
            </w:r>
          </w:p>
        </w:tc>
        <w:tc>
          <w:tcPr>
            <w:tcW w:w="567"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20</w:t>
            </w:r>
          </w:p>
        </w:tc>
        <w:tc>
          <w:tcPr>
            <w:tcW w:w="5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20</w:t>
            </w:r>
          </w:p>
        </w:tc>
        <w:tc>
          <w:tcPr>
            <w:tcW w:w="1344"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left"/>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572" w:hRule="exact"/>
          <w:jc w:val="center"/>
        </w:trPr>
        <w:tc>
          <w:tcPr>
            <w:tcW w:w="566" w:type="dxa"/>
            <w:vMerge w:val="continue"/>
            <w:tcBorders>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110"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rPr>
              <w:t>对</w:t>
            </w:r>
            <w:r>
              <w:rPr>
                <w:rFonts w:hint="eastAsia" w:ascii="宋体" w:hAnsi="宋体" w:eastAsia="宋体" w:cs="宋体"/>
                <w:color w:val="000000"/>
                <w:kern w:val="0"/>
                <w:sz w:val="20"/>
                <w:lang w:val="en-US" w:eastAsia="zh-CN"/>
              </w:rPr>
              <w:t>促进当地就业的影响</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lang w:val="en-US" w:eastAsia="zh-CN"/>
              </w:rPr>
              <w:t>明显提升</w:t>
            </w:r>
          </w:p>
        </w:tc>
        <w:tc>
          <w:tcPr>
            <w:tcW w:w="15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szCs w:val="24"/>
                <w:lang w:val="en-US" w:eastAsia="zh-CN" w:bidi="ar-SA"/>
              </w:rPr>
            </w:pPr>
            <w:r>
              <w:rPr>
                <w:rFonts w:hint="eastAsia" w:ascii="宋体" w:hAnsi="宋体" w:eastAsia="宋体" w:cs="宋体"/>
                <w:color w:val="000000"/>
                <w:kern w:val="0"/>
                <w:sz w:val="20"/>
                <w:lang w:val="en-US" w:eastAsia="zh-CN"/>
              </w:rPr>
              <w:t>明显提升</w:t>
            </w:r>
          </w:p>
        </w:tc>
        <w:tc>
          <w:tcPr>
            <w:tcW w:w="567"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10</w:t>
            </w:r>
          </w:p>
        </w:tc>
        <w:tc>
          <w:tcPr>
            <w:tcW w:w="5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10</w:t>
            </w:r>
          </w:p>
        </w:tc>
        <w:tc>
          <w:tcPr>
            <w:tcW w:w="1344"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732" w:hRule="exact"/>
          <w:jc w:val="center"/>
        </w:trPr>
        <w:tc>
          <w:tcPr>
            <w:tcW w:w="5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14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2110" w:type="dxa"/>
            <w:gridSpan w:val="2"/>
            <w:tcBorders>
              <w:top w:val="single" w:color="auto" w:sz="4" w:space="0"/>
              <w:left w:val="single" w:color="auto" w:sz="4" w:space="0"/>
              <w:bottom w:val="single" w:color="auto" w:sz="4" w:space="0"/>
              <w:right w:val="nil"/>
            </w:tcBorders>
            <w:noWrap w:val="0"/>
            <w:vAlign w:val="center"/>
          </w:tcPr>
          <w:p>
            <w:pPr>
              <w:widowControl/>
              <w:spacing w:line="240" w:lineRule="exact"/>
              <w:ind w:left="-66" w:leftChars="-30" w:right="-66" w:rightChars="-30"/>
              <w:jc w:val="left"/>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对当地经济发展的可持续性影响</w:t>
            </w:r>
          </w:p>
        </w:tc>
        <w:tc>
          <w:tcPr>
            <w:tcW w:w="1180"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是否具有可持续性</w:t>
            </w:r>
          </w:p>
        </w:tc>
        <w:tc>
          <w:tcPr>
            <w:tcW w:w="1504"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eastAsia="宋体" w:cs="宋体"/>
                <w:color w:val="000000"/>
                <w:kern w:val="0"/>
                <w:sz w:val="20"/>
                <w:lang w:val="en-US" w:eastAsia="zh-CN"/>
              </w:rPr>
              <w:t>具有可持续性</w:t>
            </w:r>
          </w:p>
        </w:tc>
        <w:tc>
          <w:tcPr>
            <w:tcW w:w="567"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10</w:t>
            </w:r>
          </w:p>
        </w:tc>
        <w:tc>
          <w:tcPr>
            <w:tcW w:w="580"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lang w:val="en-US" w:eastAsia="zh-CN"/>
              </w:rPr>
            </w:pPr>
            <w:r>
              <w:rPr>
                <w:rFonts w:hint="eastAsia" w:ascii="宋体" w:hAnsi="宋体" w:cs="宋体"/>
                <w:color w:val="000000"/>
                <w:kern w:val="0"/>
                <w:sz w:val="20"/>
                <w:lang w:val="en-US" w:eastAsia="zh-CN"/>
              </w:rPr>
              <w:t>8</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949" w:hRule="exact"/>
          <w:jc w:val="center"/>
        </w:trPr>
        <w:tc>
          <w:tcPr>
            <w:tcW w:w="566" w:type="dxa"/>
            <w:vMerge w:val="continue"/>
            <w:tcBorders>
              <w:top w:val="single" w:color="auto" w:sz="4" w:space="0"/>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c>
          <w:tcPr>
            <w:tcW w:w="779" w:type="dxa"/>
            <w:tcBorders>
              <w:top w:val="single" w:color="auto" w:sz="4" w:space="0"/>
              <w:left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满意度</w:t>
            </w:r>
          </w:p>
          <w:p>
            <w:pPr>
              <w:widowControl/>
              <w:spacing w:line="240" w:lineRule="exact"/>
              <w:ind w:left="-66" w:leftChars="-30" w:right="-66" w:rightChars="-30"/>
              <w:jc w:val="both"/>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标</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10分</w:t>
            </w:r>
            <w:r>
              <w:rPr>
                <w:rFonts w:hint="eastAsia" w:ascii="宋体" w:hAnsi="宋体" w:eastAsia="宋体" w:cs="宋体"/>
                <w:color w:val="000000"/>
                <w:kern w:val="0"/>
                <w:sz w:val="20"/>
                <w:szCs w:val="20"/>
                <w:lang w:eastAsia="zh-CN"/>
              </w:rPr>
              <w:t>）</w:t>
            </w:r>
          </w:p>
          <w:p>
            <w:pPr>
              <w:widowControl/>
              <w:spacing w:line="240" w:lineRule="exact"/>
              <w:ind w:left="-66" w:leftChars="-30" w:right="-66" w:rightChars="-30"/>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(10分）</w:t>
            </w:r>
          </w:p>
        </w:tc>
        <w:tc>
          <w:tcPr>
            <w:tcW w:w="143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服务对象满意度指标（10分）</w:t>
            </w:r>
          </w:p>
        </w:tc>
        <w:tc>
          <w:tcPr>
            <w:tcW w:w="2110"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lef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资金拨付对象满意度</w:t>
            </w:r>
          </w:p>
        </w:tc>
        <w:tc>
          <w:tcPr>
            <w:tcW w:w="1180"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rPr>
              <w:t>≥</w:t>
            </w:r>
            <w:r>
              <w:rPr>
                <w:rFonts w:hint="eastAsia" w:ascii="宋体" w:hAnsi="宋体" w:cs="宋体"/>
                <w:color w:val="000000"/>
                <w:kern w:val="0"/>
                <w:sz w:val="20"/>
                <w:lang w:val="en-US" w:eastAsia="zh-CN"/>
              </w:rPr>
              <w:t>95</w:t>
            </w:r>
            <w:r>
              <w:rPr>
                <w:rFonts w:hint="eastAsia" w:ascii="宋体" w:hAnsi="宋体" w:eastAsia="宋体" w:cs="宋体"/>
                <w:color w:val="000000"/>
                <w:kern w:val="0"/>
                <w:sz w:val="20"/>
              </w:rPr>
              <w:t>%</w:t>
            </w:r>
          </w:p>
        </w:tc>
        <w:tc>
          <w:tcPr>
            <w:tcW w:w="1504"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95%</w:t>
            </w:r>
          </w:p>
        </w:tc>
        <w:tc>
          <w:tcPr>
            <w:tcW w:w="567"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10</w:t>
            </w:r>
          </w:p>
        </w:tc>
        <w:tc>
          <w:tcPr>
            <w:tcW w:w="580" w:type="dxa"/>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10</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r>
        <w:tblPrEx>
          <w:tblCellMar>
            <w:top w:w="0" w:type="dxa"/>
            <w:left w:w="108" w:type="dxa"/>
            <w:bottom w:w="0" w:type="dxa"/>
            <w:right w:w="108" w:type="dxa"/>
          </w:tblCellMar>
        </w:tblPrEx>
        <w:trPr>
          <w:trHeight w:val="636" w:hRule="exact"/>
          <w:jc w:val="center"/>
        </w:trPr>
        <w:tc>
          <w:tcPr>
            <w:tcW w:w="7569" w:type="dxa"/>
            <w:gridSpan w:val="7"/>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总分</w:t>
            </w:r>
          </w:p>
        </w:tc>
        <w:tc>
          <w:tcPr>
            <w:tcW w:w="567"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r>
              <w:rPr>
                <w:rFonts w:hint="eastAsia" w:ascii="宋体" w:hAnsi="宋体" w:eastAsia="宋体" w:cs="宋体"/>
                <w:color w:val="000000"/>
                <w:kern w:val="0"/>
                <w:sz w:val="20"/>
              </w:rPr>
              <w:t>100</w:t>
            </w:r>
          </w:p>
        </w:tc>
        <w:tc>
          <w:tcPr>
            <w:tcW w:w="580" w:type="dxa"/>
            <w:tcBorders>
              <w:top w:val="nil"/>
              <w:left w:val="nil"/>
              <w:bottom w:val="single" w:color="auto" w:sz="4" w:space="0"/>
              <w:right w:val="single" w:color="auto" w:sz="4" w:space="0"/>
            </w:tcBorders>
            <w:noWrap w:val="0"/>
            <w:vAlign w:val="center"/>
          </w:tcPr>
          <w:p>
            <w:pPr>
              <w:widowControl/>
              <w:spacing w:line="240" w:lineRule="exact"/>
              <w:ind w:left="-66" w:leftChars="-30" w:right="-66" w:rightChars="-30"/>
              <w:jc w:val="both"/>
              <w:rPr>
                <w:rFonts w:hint="default" w:ascii="宋体" w:hAnsi="宋体" w:eastAsia="宋体" w:cs="宋体"/>
                <w:color w:val="000000"/>
                <w:kern w:val="0"/>
                <w:sz w:val="20"/>
                <w:lang w:val="en-US" w:eastAsia="zh-CN"/>
              </w:rPr>
            </w:pPr>
            <w:r>
              <w:rPr>
                <w:rFonts w:hint="eastAsia" w:ascii="宋体" w:hAnsi="宋体" w:cs="宋体"/>
                <w:color w:val="000000"/>
                <w:kern w:val="0"/>
                <w:sz w:val="20"/>
                <w:lang w:val="en-US" w:eastAsia="zh-CN"/>
              </w:rPr>
              <w:t xml:space="preserve"> 98</w:t>
            </w:r>
          </w:p>
        </w:tc>
        <w:tc>
          <w:tcPr>
            <w:tcW w:w="1344"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ind w:left="-66" w:leftChars="-30" w:right="-66" w:rightChars="-30"/>
              <w:jc w:val="center"/>
              <w:rPr>
                <w:rFonts w:hint="eastAsia" w:ascii="宋体" w:hAnsi="宋体" w:eastAsia="宋体" w:cs="宋体"/>
                <w:color w:val="000000"/>
                <w:kern w:val="0"/>
                <w:sz w:val="20"/>
              </w:rPr>
            </w:pPr>
          </w:p>
        </w:tc>
      </w:tr>
    </w:tbl>
    <w:p>
      <w:pPr>
        <w:pStyle w:val="2"/>
        <w:rPr>
          <w:rFonts w:hint="eastAsia" w:ascii="仿宋_GB2312" w:hAnsi="仿宋_GB2312" w:cs="仿宋_GB2312"/>
          <w:color w:val="000000"/>
          <w:sz w:val="28"/>
          <w:szCs w:val="28"/>
          <w:highlight w:val="none"/>
          <w:lang w:val="en-US" w:eastAsia="zh-CN"/>
        </w:rPr>
      </w:pPr>
    </w:p>
    <w:p>
      <w:pPr>
        <w:pStyle w:val="2"/>
        <w:rPr>
          <w:rFonts w:hint="eastAsia" w:ascii="仿宋_GB2312" w:hAnsi="仿宋_GB2312" w:cs="仿宋_GB2312"/>
          <w:color w:val="000000"/>
          <w:sz w:val="28"/>
          <w:szCs w:val="28"/>
          <w:highlight w:val="none"/>
          <w:lang w:val="en-US" w:eastAsia="zh-CN"/>
        </w:rPr>
      </w:pPr>
    </w:p>
    <w:p>
      <w:pPr>
        <w:snapToGrid/>
        <w:spacing w:line="540" w:lineRule="exact"/>
        <w:jc w:val="both"/>
        <w:rPr>
          <w:rFonts w:hint="eastAsia" w:ascii="黑体" w:hAnsi="黑体" w:eastAsia="黑体"/>
          <w:b/>
          <w:bCs/>
          <w:sz w:val="32"/>
          <w:szCs w:val="32"/>
        </w:rPr>
      </w:pPr>
    </w:p>
    <w:p>
      <w:pPr>
        <w:snapToGrid/>
        <w:spacing w:line="540" w:lineRule="exact"/>
        <w:jc w:val="center"/>
        <w:rPr>
          <w:rFonts w:ascii="黑体" w:hAnsi="黑体" w:eastAsia="黑体"/>
          <w:b/>
          <w:bCs/>
          <w:sz w:val="32"/>
          <w:szCs w:val="32"/>
        </w:rPr>
      </w:pPr>
      <w:r>
        <w:rPr>
          <w:rFonts w:hint="eastAsia" w:ascii="黑体" w:hAnsi="黑体" w:eastAsia="黑体"/>
          <w:b/>
          <w:bCs/>
          <w:sz w:val="32"/>
          <w:szCs w:val="32"/>
        </w:rPr>
        <w:t>第四部分  名词解释</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1、财政拨款收入：指本年度从本级财政部门取得的财政拨款，包括一般公共预算财政拨款和政府性基金预算财政拨款。</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2、其他收入：指单位取得的除“财政拨款收入”、“事业收入”、“经营收入”等以外的收入，包括未纳入财政预算或财政专户管理的投资收益、银行存款利息收入、租金收入、捐赠收入，现金盘盈收入、存货盘盈收入、收回已核销的应收及预付款项、无法偿付的应付及预收款项等。各单位从本级财政部门以外的同级单位取得的经费、从非本级财政部门取得的经费，以及行政单位收到的财政专户管理资金填列在本项内。</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3、年初结转和结余：指单位上年结转本年使用的基本支出结转、项目支出结转和结余、经营结余。不包括事业单位净资产项下的事业基金和专用基金。</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4、年末结转和结余：指单位结转下年的基本支出结转、项目支出结转和结余、经营结余。不包括事业单位净资产项下的事业基金和专用基金。</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5、基本支出：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6、“三公”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7、机关运行经费：为保障行政单位（含参照公务员法管理的事业单位）运行用于购买货物和服务等的各项公用经费，包括办公及印刷费、邮电费、差旅费、会议费、福利费、日常维护费、专用材料及一般设备购置费、办公用房水电费、办公用房取暖费、办公用房物业管理费、公务用车运行维护费以及其他费用。</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8、工资福利支出（支出经济分类科目类级）：反映单位开支的在职职工和编制外长期聘用人员的各类劳动报酬，以及为上述人员缴纳的各项社会保险费等。</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9、商品和服务支出（支出经济分类科目类级）：反映单位购买商品和服务的支出（不包括用于购置固定资产的支出、战略性和应急储备支出）。</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10、对个人和家庭的补助（支出经济分类科目类级）：反映用于对个人和家庭的补助支出。</w:t>
      </w:r>
    </w:p>
    <w:p>
      <w:pPr>
        <w:snapToGrid/>
        <w:spacing w:line="540" w:lineRule="exact"/>
        <w:ind w:firstLine="640" w:firstLineChars="200"/>
        <w:rPr>
          <w:rFonts w:ascii="仿宋" w:hAnsi="仿宋" w:eastAsia="仿宋"/>
          <w:sz w:val="32"/>
          <w:szCs w:val="32"/>
        </w:rPr>
      </w:pPr>
      <w:r>
        <w:rPr>
          <w:rFonts w:hint="eastAsia" w:ascii="仿宋" w:hAnsi="仿宋" w:eastAsia="仿宋"/>
          <w:sz w:val="32"/>
          <w:szCs w:val="32"/>
        </w:rPr>
        <w:t>11、其他资本性支出（支出经济分类科目类级）：反映非各级发展与改革部门集中安排的用于购置固定资产、战略性和应急性储备、土地和无形资产，以及构建基础设施、大型修缮和财政支持企业更新改造所发生的支出。</w:t>
      </w:r>
    </w:p>
    <w:p/>
    <w:p/>
    <w:p/>
    <w:p>
      <w:pPr>
        <w:spacing w:after="0" w:line="360" w:lineRule="auto"/>
        <w:ind w:firstLine="640" w:firstLineChars="200"/>
        <w:jc w:val="left"/>
        <w:rPr>
          <w:rFonts w:hint="eastAsia" w:ascii="方正仿宋简体" w:eastAsia="方正仿宋简体"/>
          <w:sz w:val="32"/>
          <w:szCs w:val="32"/>
          <w:lang w:eastAsia="zh-CN"/>
        </w:rPr>
      </w:pPr>
    </w:p>
    <w:sectPr>
      <w:headerReference r:id="rId6" w:type="default"/>
      <w:footerReference r:id="rId7"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方正仿宋简体">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sz w:val="28"/>
        <w:szCs w:val="28"/>
      </w:rPr>
    </w:pPr>
  </w:p>
  <w:p>
    <w:pPr>
      <w:pStyle w:val="7"/>
      <w:ind w:left="5250"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5250"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spacing w:line="2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173E99"/>
    <w:multiLevelType w:val="singleLevel"/>
    <w:tmpl w:val="D3173E99"/>
    <w:lvl w:ilvl="0" w:tentative="0">
      <w:start w:val="1"/>
      <w:numFmt w:val="chineseCounting"/>
      <w:suff w:val="nothing"/>
      <w:lvlText w:val="第%1部分　"/>
      <w:lvlJc w:val="left"/>
      <w:rPr>
        <w:rFonts w:hint="eastAsia"/>
      </w:rPr>
    </w:lvl>
  </w:abstractNum>
  <w:abstractNum w:abstractNumId="1">
    <w:nsid w:val="FE7C0BF3"/>
    <w:multiLevelType w:val="singleLevel"/>
    <w:tmpl w:val="FE7C0BF3"/>
    <w:lvl w:ilvl="0" w:tentative="0">
      <w:start w:val="9"/>
      <w:numFmt w:val="chineseCounting"/>
      <w:suff w:val="nothing"/>
      <w:lvlText w:val="%1、"/>
      <w:lvlJc w:val="left"/>
      <w:rPr>
        <w:rFonts w:hint="eastAsia"/>
      </w:rPr>
    </w:lvl>
  </w:abstractNum>
  <w:abstractNum w:abstractNumId="2">
    <w:nsid w:val="54765060"/>
    <w:multiLevelType w:val="singleLevel"/>
    <w:tmpl w:val="54765060"/>
    <w:lvl w:ilvl="0" w:tentative="0">
      <w:start w:val="1"/>
      <w:numFmt w:val="decimal"/>
      <w:suff w:val="nothing"/>
      <w:lvlText w:val="%1、"/>
      <w:lvlJc w:val="left"/>
    </w:lvl>
  </w:abstractNum>
  <w:abstractNum w:abstractNumId="3">
    <w:nsid w:val="56368CD2"/>
    <w:multiLevelType w:val="singleLevel"/>
    <w:tmpl w:val="56368CD2"/>
    <w:lvl w:ilvl="0" w:tentative="0">
      <w:start w:val="1"/>
      <w:numFmt w:val="chineseCounting"/>
      <w:suff w:val="nothing"/>
      <w:lvlText w:val="（%1）"/>
      <w:lvlJc w:val="left"/>
      <w:pPr>
        <w:ind w:left="2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1Yzc5ZTU4ZWM2OWZlNGM1Yjk2YjRjZWYxZmZlNTQifQ=="/>
  </w:docVars>
  <w:rsids>
    <w:rsidRoot w:val="5C6C5DA0"/>
    <w:rsid w:val="0003580C"/>
    <w:rsid w:val="00084935"/>
    <w:rsid w:val="001150C6"/>
    <w:rsid w:val="001E2475"/>
    <w:rsid w:val="002028C2"/>
    <w:rsid w:val="00225F15"/>
    <w:rsid w:val="002360D2"/>
    <w:rsid w:val="00372A24"/>
    <w:rsid w:val="00393B3E"/>
    <w:rsid w:val="003A72A9"/>
    <w:rsid w:val="00463A1D"/>
    <w:rsid w:val="006E1E7B"/>
    <w:rsid w:val="00703A4B"/>
    <w:rsid w:val="00710F7C"/>
    <w:rsid w:val="00894E64"/>
    <w:rsid w:val="00987B7B"/>
    <w:rsid w:val="009D23F1"/>
    <w:rsid w:val="009E1086"/>
    <w:rsid w:val="00A95C02"/>
    <w:rsid w:val="00BA49D3"/>
    <w:rsid w:val="00BD7C31"/>
    <w:rsid w:val="00CE306E"/>
    <w:rsid w:val="00D96215"/>
    <w:rsid w:val="00E17BBE"/>
    <w:rsid w:val="00E24670"/>
    <w:rsid w:val="00F00DE4"/>
    <w:rsid w:val="00F13A37"/>
    <w:rsid w:val="00F9242D"/>
    <w:rsid w:val="0322304B"/>
    <w:rsid w:val="0411341E"/>
    <w:rsid w:val="051F0DD5"/>
    <w:rsid w:val="05401B37"/>
    <w:rsid w:val="06007E2C"/>
    <w:rsid w:val="07FD0065"/>
    <w:rsid w:val="081C37B3"/>
    <w:rsid w:val="0DAA6699"/>
    <w:rsid w:val="0DE64274"/>
    <w:rsid w:val="0E016FFC"/>
    <w:rsid w:val="0EC6228A"/>
    <w:rsid w:val="0EF425D6"/>
    <w:rsid w:val="14991DF9"/>
    <w:rsid w:val="1609266D"/>
    <w:rsid w:val="17AF353E"/>
    <w:rsid w:val="184F4BF7"/>
    <w:rsid w:val="18F050E3"/>
    <w:rsid w:val="190C0403"/>
    <w:rsid w:val="1D503E2A"/>
    <w:rsid w:val="1E302D3C"/>
    <w:rsid w:val="2418718C"/>
    <w:rsid w:val="243262D7"/>
    <w:rsid w:val="24FC0238"/>
    <w:rsid w:val="251946ED"/>
    <w:rsid w:val="267F12A3"/>
    <w:rsid w:val="26B542EE"/>
    <w:rsid w:val="2BD240A6"/>
    <w:rsid w:val="2D5D1B5A"/>
    <w:rsid w:val="2ED24EEE"/>
    <w:rsid w:val="37BE081B"/>
    <w:rsid w:val="393657C1"/>
    <w:rsid w:val="3C9D3DD3"/>
    <w:rsid w:val="3DC8146B"/>
    <w:rsid w:val="443E30D8"/>
    <w:rsid w:val="44D35C65"/>
    <w:rsid w:val="48151AE2"/>
    <w:rsid w:val="4ACB3446"/>
    <w:rsid w:val="4BDA60F0"/>
    <w:rsid w:val="4E3B7C63"/>
    <w:rsid w:val="50F929D4"/>
    <w:rsid w:val="50FF393C"/>
    <w:rsid w:val="5136200F"/>
    <w:rsid w:val="51E967BA"/>
    <w:rsid w:val="52462D55"/>
    <w:rsid w:val="5A4818AA"/>
    <w:rsid w:val="5C4C1B1B"/>
    <w:rsid w:val="5C6C5DA0"/>
    <w:rsid w:val="5E4C2371"/>
    <w:rsid w:val="6011299F"/>
    <w:rsid w:val="61543FF9"/>
    <w:rsid w:val="61EF0BBE"/>
    <w:rsid w:val="69106426"/>
    <w:rsid w:val="6D535020"/>
    <w:rsid w:val="72AE2A5C"/>
    <w:rsid w:val="73E02925"/>
    <w:rsid w:val="789B1C8B"/>
    <w:rsid w:val="79FE08EF"/>
    <w:rsid w:val="7B8342A8"/>
    <w:rsid w:val="7C4F19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qFormat/>
    <w:uiPriority w:val="0"/>
    <w:pPr>
      <w:spacing w:line="480" w:lineRule="auto"/>
      <w:ind w:firstLine="640" w:firstLineChars="200"/>
    </w:pPr>
    <w:rPr>
      <w:rFonts w:eastAsia="仿宋_GB2312"/>
      <w:sz w:val="32"/>
    </w:rPr>
  </w:style>
  <w:style w:type="paragraph" w:styleId="4">
    <w:name w:val="Normal Indent"/>
    <w:basedOn w:val="1"/>
    <w:qFormat/>
    <w:uiPriority w:val="0"/>
    <w:pPr>
      <w:ind w:firstLine="420" w:firstLineChars="200"/>
    </w:pPr>
    <w:rPr>
      <w:rFonts w:ascii="Times New Roman" w:hAnsi="Times New Roman" w:eastAsia="宋体" w:cs="Times New Roman"/>
    </w:rPr>
  </w:style>
  <w:style w:type="paragraph" w:styleId="6">
    <w:name w:val="Balloon Text"/>
    <w:basedOn w:val="1"/>
    <w:link w:val="12"/>
    <w:qFormat/>
    <w:uiPriority w:val="0"/>
    <w:pPr>
      <w:spacing w:after="0"/>
    </w:pPr>
    <w:rPr>
      <w:sz w:val="18"/>
      <w:szCs w:val="18"/>
    </w:rPr>
  </w:style>
  <w:style w:type="paragraph" w:styleId="7">
    <w:name w:val="footer"/>
    <w:basedOn w:val="1"/>
    <w:link w:val="11"/>
    <w:qFormat/>
    <w:uiPriority w:val="0"/>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character" w:customStyle="1" w:styleId="11">
    <w:name w:val="页脚 Char"/>
    <w:basedOn w:val="10"/>
    <w:link w:val="7"/>
    <w:qFormat/>
    <w:uiPriority w:val="0"/>
    <w:rPr>
      <w:rFonts w:ascii="Tahoma" w:hAnsi="Tahoma"/>
      <w:sz w:val="18"/>
      <w:szCs w:val="18"/>
    </w:rPr>
  </w:style>
  <w:style w:type="character" w:customStyle="1" w:styleId="12">
    <w:name w:val="批注框文本 Char"/>
    <w:basedOn w:val="10"/>
    <w:link w:val="6"/>
    <w:qFormat/>
    <w:uiPriority w:val="0"/>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4sg\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23</Pages>
  <Words>5528</Words>
  <Characters>6175</Characters>
  <Lines>1</Lines>
  <Paragraphs>1</Paragraphs>
  <TotalTime>168</TotalTime>
  <ScaleCrop>false</ScaleCrop>
  <LinksUpToDate>false</LinksUpToDate>
  <CharactersWithSpaces>6307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2018-07-13T04:32:00Z</dcterms:created>
  <dc:creator>54sg</dc:creator>
  <cp:lastModifiedBy>周泉</cp:lastModifiedBy>
  <cp:lastPrinted>2022-09-12T23:54:00Z</cp:lastPrinted>
  <dcterms:modified xsi:type="dcterms:W3CDTF">2023-06-26T06:26:13Z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D989CF3A98F74012B32AC322962651F1_13</vt:lpwstr>
  </property>
</Properties>
</file>