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F957CD">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107"/>
        <w:jc w:val="both"/>
        <w:textAlignment w:val="auto"/>
        <w:rPr>
          <w:rFonts w:hint="eastAsia" w:ascii="仿宋" w:hAnsi="仿宋" w:eastAsia="仿宋" w:cs="仿宋"/>
          <w:b/>
          <w:bCs/>
          <w:sz w:val="32"/>
          <w:szCs w:val="32"/>
        </w:rPr>
      </w:pPr>
      <w:bookmarkStart w:id="0" w:name="_GoBack"/>
      <w:bookmarkEnd w:id="0"/>
      <w:r>
        <w:rPr>
          <w:rFonts w:hint="eastAsia" w:ascii="仿宋" w:hAnsi="仿宋" w:eastAsia="仿宋" w:cs="仿宋"/>
          <w:b/>
          <w:bCs/>
          <w:sz w:val="32"/>
          <w:szCs w:val="32"/>
        </w:rPr>
        <w:t>附件 1：</w:t>
      </w:r>
    </w:p>
    <w:p w14:paraId="4766B4BA">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方正小标宋简体" w:hAnsi="方正小标宋简体" w:eastAsia="方正小标宋简体" w:cs="方正小标宋简体"/>
          <w:b/>
          <w:bCs/>
          <w:sz w:val="44"/>
          <w:szCs w:val="44"/>
        </w:rPr>
      </w:pPr>
    </w:p>
    <w:p w14:paraId="5C0E1EAD">
      <w:pPr>
        <w:pStyle w:val="2"/>
        <w:keepNext w:val="0"/>
        <w:keepLines w:val="0"/>
        <w:pageBreakBefore w:val="0"/>
        <w:widowControl w:val="0"/>
        <w:kinsoku/>
        <w:wordWrap/>
        <w:overflowPunct/>
        <w:topLinePunct w:val="0"/>
        <w:autoSpaceDE w:val="0"/>
        <w:autoSpaceDN w:val="0"/>
        <w:bidi w:val="0"/>
        <w:adjustRightInd/>
        <w:snapToGrid/>
        <w:spacing w:before="0" w:after="0" w:line="560" w:lineRule="exact"/>
        <w:ind w:right="0"/>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pacing w:val="-14"/>
          <w:sz w:val="44"/>
          <w:szCs w:val="44"/>
        </w:rPr>
        <w:t>红谷滩区医疗保障局202</w:t>
      </w:r>
      <w:r>
        <w:rPr>
          <w:rFonts w:hint="eastAsia" w:ascii="方正小标宋简体" w:hAnsi="方正小标宋简体" w:eastAsia="方正小标宋简体" w:cs="方正小标宋简体"/>
          <w:b/>
          <w:bCs/>
          <w:spacing w:val="-14"/>
          <w:sz w:val="44"/>
          <w:szCs w:val="44"/>
          <w:lang w:val="en-US" w:eastAsia="zh-CN"/>
        </w:rPr>
        <w:t>4</w:t>
      </w:r>
      <w:r>
        <w:rPr>
          <w:rFonts w:hint="eastAsia" w:ascii="方正小标宋简体" w:hAnsi="方正小标宋简体" w:eastAsia="方正小标宋简体" w:cs="方正小标宋简体"/>
          <w:b/>
          <w:bCs/>
          <w:spacing w:val="-14"/>
          <w:sz w:val="44"/>
          <w:szCs w:val="44"/>
        </w:rPr>
        <w:t>年部门预算编制</w:t>
      </w:r>
    </w:p>
    <w:p w14:paraId="3A5BFE92">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b/>
          <w:bCs/>
          <w:sz w:val="32"/>
          <w:szCs w:val="32"/>
        </w:rPr>
      </w:pPr>
    </w:p>
    <w:p w14:paraId="7D3542AD">
      <w:pPr>
        <w:pStyle w:val="4"/>
        <w:keepNext w:val="0"/>
        <w:keepLines w:val="0"/>
        <w:pageBreakBefore w:val="0"/>
        <w:widowControl w:val="0"/>
        <w:tabs>
          <w:tab w:val="left" w:pos="639"/>
        </w:tabs>
        <w:kinsoku/>
        <w:wordWrap/>
        <w:overflowPunct/>
        <w:topLinePunct w:val="0"/>
        <w:autoSpaceDE w:val="0"/>
        <w:autoSpaceDN w:val="0"/>
        <w:bidi w:val="0"/>
        <w:adjustRightInd/>
        <w:snapToGrid/>
        <w:spacing w:before="0" w:line="560" w:lineRule="exact"/>
        <w:ind w:right="165"/>
        <w:jc w:val="center"/>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目</w:t>
      </w:r>
      <w:r>
        <w:rPr>
          <w:rFonts w:hint="eastAsia" w:ascii="仿宋_GB2312" w:hAnsi="仿宋_GB2312" w:eastAsia="仿宋_GB2312" w:cs="仿宋_GB2312"/>
          <w:b/>
          <w:bCs/>
          <w:sz w:val="32"/>
          <w:szCs w:val="32"/>
        </w:rPr>
        <w:tab/>
      </w:r>
      <w:r>
        <w:rPr>
          <w:rFonts w:hint="eastAsia" w:ascii="仿宋_GB2312" w:hAnsi="仿宋_GB2312" w:eastAsia="仿宋_GB2312" w:cs="仿宋_GB2312"/>
          <w:b/>
          <w:bCs/>
          <w:sz w:val="32"/>
          <w:szCs w:val="32"/>
        </w:rPr>
        <w:t>录</w:t>
      </w:r>
    </w:p>
    <w:p w14:paraId="138F4C5F">
      <w:pPr>
        <w:keepNext w:val="0"/>
        <w:keepLines w:val="0"/>
        <w:pageBreakBefore w:val="0"/>
        <w:widowControl w:val="0"/>
        <w:kinsoku/>
        <w:wordWrap/>
        <w:overflowPunct/>
        <w:topLinePunct w:val="0"/>
        <w:autoSpaceDE w:val="0"/>
        <w:autoSpaceDN w:val="0"/>
        <w:bidi w:val="0"/>
        <w:adjustRightInd/>
        <w:snapToGrid/>
        <w:spacing w:before="0" w:line="560" w:lineRule="exact"/>
        <w:ind w:left="750" w:right="0" w:firstLine="0"/>
        <w:jc w:val="both"/>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 xml:space="preserve">第一部分 </w:t>
      </w:r>
      <w:r>
        <w:rPr>
          <w:rFonts w:hint="eastAsia" w:ascii="仿宋_GB2312" w:hAnsi="仿宋_GB2312" w:eastAsia="仿宋_GB2312" w:cs="仿宋_GB2312"/>
          <w:b/>
          <w:bCs w:val="0"/>
          <w:i w:val="0"/>
          <w:iCs w:val="0"/>
          <w:caps w:val="0"/>
          <w:color w:val="333333"/>
          <w:spacing w:val="0"/>
          <w:sz w:val="32"/>
          <w:szCs w:val="32"/>
          <w:shd w:val="clear" w:fill="FFFFFF"/>
        </w:rPr>
        <w:t>红谷滩区医疗保障局概况</w:t>
      </w:r>
    </w:p>
    <w:p w14:paraId="03D218F7">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47" w:right="5913"/>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一、部门主要职责二、部门基本情况</w:t>
      </w:r>
    </w:p>
    <w:p w14:paraId="762D193D">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107" w:right="270" w:firstLine="627"/>
        <w:jc w:val="both"/>
        <w:textAlignment w:val="auto"/>
        <w:rPr>
          <w:rFonts w:hint="eastAsia" w:ascii="仿宋_GB2312" w:hAnsi="仿宋_GB2312" w:eastAsia="仿宋_GB2312" w:cs="仿宋_GB2312"/>
          <w:b/>
          <w:bCs w:val="0"/>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val="0"/>
          <w:spacing w:val="5"/>
          <w:sz w:val="32"/>
          <w:szCs w:val="32"/>
        </w:rPr>
        <w:t>第二部分</w:t>
      </w:r>
      <w:r>
        <w:rPr>
          <w:rFonts w:hint="eastAsia" w:ascii="仿宋_GB2312" w:hAnsi="仿宋_GB2312" w:eastAsia="仿宋_GB2312" w:cs="仿宋_GB2312"/>
          <w:b/>
          <w:bCs w:val="0"/>
          <w:spacing w:val="5"/>
          <w:sz w:val="32"/>
          <w:szCs w:val="32"/>
          <w:lang w:val="en-US" w:eastAsia="zh-CN"/>
        </w:rPr>
        <w:t xml:space="preserve"> </w:t>
      </w:r>
      <w:r>
        <w:rPr>
          <w:rFonts w:hint="eastAsia" w:ascii="仿宋_GB2312" w:hAnsi="仿宋_GB2312" w:eastAsia="仿宋_GB2312" w:cs="仿宋_GB2312"/>
          <w:b/>
          <w:bCs w:val="0"/>
          <w:i w:val="0"/>
          <w:iCs w:val="0"/>
          <w:caps w:val="0"/>
          <w:color w:val="333333"/>
          <w:spacing w:val="0"/>
          <w:kern w:val="2"/>
          <w:sz w:val="32"/>
          <w:szCs w:val="32"/>
          <w:shd w:val="clear" w:fill="FFFFFF"/>
          <w:lang w:val="en-US" w:eastAsia="zh-CN" w:bidi="ar-SA"/>
        </w:rPr>
        <w:t>红谷滩区医疗保障局2024年部门预算情况说明</w:t>
      </w:r>
    </w:p>
    <w:p w14:paraId="73437199">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47"/>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一、部门预算收支情况说明</w:t>
      </w:r>
    </w:p>
    <w:p w14:paraId="799587CE">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47"/>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二、“三公”经费预算情况说明</w:t>
      </w:r>
    </w:p>
    <w:p w14:paraId="2D34A6FB">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b/>
          <w:bCs w:val="0"/>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val="0"/>
          <w:spacing w:val="13"/>
          <w:sz w:val="32"/>
          <w:szCs w:val="32"/>
        </w:rPr>
        <w:t xml:space="preserve">第三部分 </w:t>
      </w:r>
      <w:r>
        <w:rPr>
          <w:rFonts w:hint="eastAsia" w:ascii="仿宋_GB2312" w:hAnsi="仿宋_GB2312" w:eastAsia="仿宋_GB2312" w:cs="仿宋_GB2312"/>
          <w:b/>
          <w:bCs w:val="0"/>
          <w:i w:val="0"/>
          <w:iCs w:val="0"/>
          <w:caps w:val="0"/>
          <w:color w:val="333333"/>
          <w:spacing w:val="0"/>
          <w:kern w:val="2"/>
          <w:sz w:val="32"/>
          <w:szCs w:val="32"/>
          <w:shd w:val="clear" w:fill="FFFFFF"/>
          <w:lang w:val="en-US" w:eastAsia="zh-CN" w:bidi="ar-SA"/>
        </w:rPr>
        <w:t>红谷滩区医疗保障局2024年部门预算表</w:t>
      </w:r>
    </w:p>
    <w:p w14:paraId="42B0D645">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pacing w:val="-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pacing w:val="-2"/>
          <w:sz w:val="32"/>
          <w:szCs w:val="32"/>
        </w:rPr>
        <w:t>《收支预算总表》</w:t>
      </w:r>
    </w:p>
    <w:p w14:paraId="7716A9D6">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pacing w:val="-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2"/>
          <w:sz w:val="32"/>
          <w:szCs w:val="32"/>
        </w:rPr>
        <w:t>《部门收入总表》</w:t>
      </w:r>
    </w:p>
    <w:p w14:paraId="2A7CA5DB">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pacing w:val="-2"/>
          <w:sz w:val="32"/>
          <w:szCs w:val="32"/>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hAnsi="仿宋_GB2312" w:eastAsia="仿宋_GB2312" w:cs="仿宋_GB2312"/>
          <w:spacing w:val="-2"/>
          <w:sz w:val="32"/>
          <w:szCs w:val="32"/>
        </w:rPr>
        <w:t>《部门支出总表》</w:t>
      </w:r>
    </w:p>
    <w:p w14:paraId="4B1613EA">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、《财政拨款收支总表》</w:t>
      </w:r>
    </w:p>
    <w:p w14:paraId="5C20917C">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、《一般公共预算支出表》</w:t>
      </w:r>
    </w:p>
    <w:p w14:paraId="4A83612C">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、《一般公共预算基本支出表》</w:t>
      </w:r>
    </w:p>
    <w:p w14:paraId="766F4902">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pacing w:val="-1"/>
          <w:sz w:val="32"/>
          <w:szCs w:val="32"/>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rPr>
        <w:t>、</w:t>
      </w:r>
      <w:r>
        <w:rPr>
          <w:rFonts w:hint="eastAsia" w:ascii="仿宋_GB2312" w:hAnsi="仿宋_GB2312" w:eastAsia="仿宋_GB2312" w:cs="仿宋_GB2312"/>
          <w:spacing w:val="-1"/>
          <w:sz w:val="32"/>
          <w:szCs w:val="32"/>
        </w:rPr>
        <w:t>《一般公共预算“三公”经费支出表》</w:t>
      </w:r>
    </w:p>
    <w:p w14:paraId="3F3F1ADA">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sz w:val="32"/>
          <w:szCs w:val="32"/>
        </w:rPr>
        <w:t>、《政府性基金预算支出表》</w:t>
      </w:r>
    </w:p>
    <w:p w14:paraId="2CA5BCF0">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国有资本经营</w:t>
      </w:r>
      <w:r>
        <w:rPr>
          <w:rFonts w:hint="eastAsia" w:ascii="仿宋_GB2312" w:hAnsi="仿宋_GB2312" w:eastAsia="仿宋_GB2312" w:cs="仿宋_GB2312"/>
          <w:sz w:val="32"/>
          <w:szCs w:val="32"/>
        </w:rPr>
        <w:t>预算支出表》</w:t>
      </w:r>
    </w:p>
    <w:p w14:paraId="442A778B">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部门整体支出绩效目标表</w:t>
      </w:r>
      <w:r>
        <w:rPr>
          <w:rFonts w:hint="eastAsia" w:ascii="仿宋_GB2312" w:hAnsi="仿宋_GB2312" w:eastAsia="仿宋_GB2312" w:cs="仿宋_GB2312"/>
          <w:sz w:val="32"/>
          <w:szCs w:val="32"/>
        </w:rPr>
        <w:t>》</w:t>
      </w:r>
    </w:p>
    <w:p w14:paraId="58E96859">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5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、《一级项目绩效目标表》</w:t>
      </w:r>
    </w:p>
    <w:p w14:paraId="299DCCB2">
      <w:pPr>
        <w:pStyle w:val="4"/>
        <w:keepNext w:val="0"/>
        <w:keepLines w:val="0"/>
        <w:pageBreakBefore w:val="0"/>
        <w:widowControl w:val="0"/>
        <w:kinsoku/>
        <w:wordWrap/>
        <w:overflowPunct/>
        <w:topLinePunct w:val="0"/>
        <w:autoSpaceDE w:val="0"/>
        <w:autoSpaceDN w:val="0"/>
        <w:bidi w:val="0"/>
        <w:adjustRightInd/>
        <w:snapToGrid/>
        <w:spacing w:before="0" w:line="560" w:lineRule="exact"/>
        <w:ind w:firstLine="643" w:firstLineChars="200"/>
        <w:jc w:val="both"/>
        <w:textAlignment w:val="auto"/>
        <w:outlineLvl w:val="9"/>
        <w:rPr>
          <w:rFonts w:hint="eastAsia" w:ascii="仿宋_GB2312" w:hAnsi="仿宋_GB2312" w:eastAsia="仿宋_GB2312" w:cs="仿宋_GB2312"/>
          <w:b/>
          <w:bCs w:val="0"/>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val="0"/>
          <w:sz w:val="32"/>
          <w:szCs w:val="32"/>
        </w:rPr>
        <w:t>第四部分</w:t>
      </w:r>
      <w:r>
        <w:rPr>
          <w:rFonts w:hint="eastAsia" w:ascii="仿宋_GB2312" w:hAnsi="仿宋_GB2312" w:eastAsia="仿宋_GB2312" w:cs="仿宋_GB2312"/>
          <w:b/>
          <w:bCs w:val="0"/>
          <w:sz w:val="32"/>
          <w:szCs w:val="32"/>
        </w:rPr>
        <w:tab/>
      </w:r>
      <w:r>
        <w:rPr>
          <w:rFonts w:hint="eastAsia" w:ascii="仿宋_GB2312" w:hAnsi="仿宋_GB2312" w:eastAsia="仿宋_GB2312" w:cs="仿宋_GB2312"/>
          <w:b/>
          <w:bCs w:val="0"/>
          <w:i w:val="0"/>
          <w:iCs w:val="0"/>
          <w:caps w:val="0"/>
          <w:color w:val="333333"/>
          <w:spacing w:val="0"/>
          <w:kern w:val="2"/>
          <w:sz w:val="32"/>
          <w:szCs w:val="32"/>
          <w:shd w:val="clear" w:fill="FFFFFF"/>
          <w:lang w:val="en-US" w:eastAsia="zh-CN" w:bidi="ar-SA"/>
        </w:rPr>
        <w:t>名词解释</w:t>
      </w:r>
    </w:p>
    <w:p w14:paraId="3F2C512A">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2AEA8C7A">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4F90ECEF">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292CD1E2">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1F7E2D42">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71A64205">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7066A425">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03013ADE">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55A7D70D">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1D3530A1">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43482C23">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4D3AA699">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sz w:val="32"/>
          <w:szCs w:val="32"/>
        </w:rPr>
      </w:pPr>
    </w:p>
    <w:p w14:paraId="158F89A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6E63684B">
      <w:pPr>
        <w:pStyle w:val="3"/>
        <w:keepNext w:val="0"/>
        <w:keepLines w:val="0"/>
        <w:pageBreakBefore w:val="0"/>
        <w:widowControl w:val="0"/>
        <w:tabs>
          <w:tab w:val="left" w:pos="1604"/>
        </w:tabs>
        <w:kinsoku/>
        <w:wordWrap/>
        <w:overflowPunct/>
        <w:topLinePunct w:val="0"/>
        <w:autoSpaceDE w:val="0"/>
        <w:autoSpaceDN w:val="0"/>
        <w:bidi w:val="0"/>
        <w:adjustRightInd/>
        <w:snapToGrid/>
        <w:spacing w:before="0" w:line="560" w:lineRule="exact"/>
        <w:ind w:left="0" w:right="164"/>
        <w:jc w:val="center"/>
        <w:textAlignment w:val="auto"/>
        <w:rPr>
          <w:rFonts w:hint="eastAsia"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bCs/>
          <w:sz w:val="36"/>
          <w:szCs w:val="36"/>
        </w:rPr>
        <w:t>第一部分</w:t>
      </w:r>
      <w:r>
        <w:rPr>
          <w:rFonts w:hint="eastAsia" w:ascii="方正小标宋简体" w:hAnsi="方正小标宋简体" w:eastAsia="方正小标宋简体" w:cs="方正小标宋简体"/>
          <w:b/>
          <w:bCs/>
          <w:sz w:val="36"/>
          <w:szCs w:val="36"/>
        </w:rPr>
        <w:tab/>
      </w:r>
      <w:r>
        <w:rPr>
          <w:rFonts w:hint="eastAsia" w:ascii="方正小标宋简体" w:hAnsi="方正小标宋简体" w:eastAsia="方正小标宋简体" w:cs="方正小标宋简体"/>
          <w:b/>
          <w:bCs/>
          <w:sz w:val="36"/>
          <w:szCs w:val="36"/>
        </w:rPr>
        <w:t>红谷滩区医疗保障局概况</w:t>
      </w:r>
    </w:p>
    <w:p w14:paraId="5CC14FA0">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一、部门主要职责</w:t>
      </w:r>
    </w:p>
    <w:p w14:paraId="0D1461E9">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红谷滩区医疗保障局（以下简称医保局）是主管医保工作的区政府组成部门，主要职责是：是负责建立和完善覆盖全区机关事业单位、城镇职工和城乡居民医疗保障体系，贯彻实施相关政策措施，拟订全区医疗、生育保险及补充保险基本政策和基本标准，并负责组织实施和监督检查。</w:t>
      </w:r>
    </w:p>
    <w:p w14:paraId="214C9ABE">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left="0" w:right="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二</w:t>
      </w:r>
      <w:r>
        <w:rPr>
          <w:rFonts w:hint="eastAsia" w:ascii="仿宋_GB2312" w:hAnsi="仿宋_GB2312" w:eastAsia="仿宋_GB2312" w:cs="仿宋_GB2312"/>
          <w:b/>
          <w:bCs/>
          <w:sz w:val="32"/>
          <w:szCs w:val="32"/>
        </w:rPr>
        <w:t>、部门基本情况</w:t>
      </w:r>
    </w:p>
    <w:p w14:paraId="678B3A85">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highlight w:val="yellow"/>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2024年红谷滩区医保局共有预算单位1个(含本级和1个所属二级预算单位)，其中，行政机关1个：红谷滩区医疗保障局，编制人数小计12人,其中：行政编制人数4人,全部补助事业编制人数8人。实有人数小计15人,其中：在职在编人数小计12人,行政在职在编人数4人,全额补助事业在职在编人数8人，其他人数3人。</w:t>
      </w:r>
    </w:p>
    <w:p w14:paraId="0102C571">
      <w:pPr>
        <w:keepNext w:val="0"/>
        <w:keepLines w:val="0"/>
        <w:pageBreakBefore w:val="0"/>
        <w:widowControl w:val="0"/>
        <w:kinsoku/>
        <w:wordWrap/>
        <w:overflowPunct/>
        <w:topLinePunct w:val="0"/>
        <w:bidi w:val="0"/>
        <w:adjustRightInd/>
        <w:snapToGrid/>
        <w:spacing w:line="560" w:lineRule="exact"/>
        <w:ind w:left="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333333"/>
          <w:spacing w:val="0"/>
          <w:sz w:val="32"/>
          <w:szCs w:val="32"/>
          <w:highlight w:val="yellow"/>
          <w:shd w:val="clear" w:fill="FFFFFF"/>
        </w:rPr>
        <w:br w:type="page"/>
      </w:r>
    </w:p>
    <w:p w14:paraId="7E391B3C">
      <w:pPr>
        <w:pStyle w:val="3"/>
        <w:keepNext w:val="0"/>
        <w:keepLines w:val="0"/>
        <w:pageBreakBefore w:val="0"/>
        <w:widowControl w:val="0"/>
        <w:tabs>
          <w:tab w:val="left" w:pos="1604"/>
        </w:tabs>
        <w:kinsoku/>
        <w:wordWrap/>
        <w:overflowPunct/>
        <w:topLinePunct w:val="0"/>
        <w:autoSpaceDE w:val="0"/>
        <w:autoSpaceDN w:val="0"/>
        <w:bidi w:val="0"/>
        <w:adjustRightInd/>
        <w:snapToGrid/>
        <w:spacing w:before="0" w:line="560" w:lineRule="exact"/>
        <w:ind w:left="0" w:right="164"/>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第二部分</w:t>
      </w:r>
      <w:r>
        <w:rPr>
          <w:rFonts w:hint="eastAsia" w:ascii="黑体" w:hAnsi="黑体" w:eastAsia="黑体" w:cs="黑体"/>
          <w:b/>
          <w:bCs/>
          <w:sz w:val="36"/>
          <w:szCs w:val="36"/>
        </w:rPr>
        <w:tab/>
      </w:r>
      <w:r>
        <w:rPr>
          <w:rFonts w:hint="eastAsia" w:ascii="黑体" w:hAnsi="黑体" w:eastAsia="黑体" w:cs="黑体"/>
          <w:b/>
          <w:bCs/>
          <w:sz w:val="36"/>
          <w:szCs w:val="36"/>
          <w:lang w:val="en-US" w:eastAsia="zh-CN"/>
        </w:rPr>
        <w:t>红谷滩区医保局</w:t>
      </w:r>
      <w:r>
        <w:rPr>
          <w:rFonts w:hint="eastAsia" w:ascii="黑体" w:hAnsi="黑体" w:eastAsia="黑体" w:cs="黑体"/>
          <w:b/>
          <w:bCs/>
          <w:sz w:val="36"/>
          <w:szCs w:val="36"/>
          <w:lang w:eastAsia="zh-CN"/>
        </w:rPr>
        <w:t>202</w:t>
      </w:r>
      <w:r>
        <w:rPr>
          <w:rFonts w:hint="eastAsia" w:ascii="黑体" w:hAnsi="黑体" w:eastAsia="黑体" w:cs="黑体"/>
          <w:b/>
          <w:bCs/>
          <w:sz w:val="36"/>
          <w:szCs w:val="36"/>
          <w:lang w:val="en-US" w:eastAsia="zh-CN"/>
        </w:rPr>
        <w:t>4</w:t>
      </w:r>
      <w:r>
        <w:rPr>
          <w:rFonts w:hint="eastAsia" w:ascii="黑体" w:hAnsi="黑体" w:eastAsia="黑体" w:cs="黑体"/>
          <w:b/>
          <w:bCs/>
          <w:sz w:val="36"/>
          <w:szCs w:val="36"/>
        </w:rPr>
        <w:t>年部门预算情况说明</w:t>
      </w:r>
    </w:p>
    <w:p w14:paraId="1B71FAF0">
      <w:pPr>
        <w:pStyle w:val="4"/>
        <w:keepNext w:val="0"/>
        <w:keepLines w:val="0"/>
        <w:pageBreakBefore w:val="0"/>
        <w:widowControl w:val="0"/>
        <w:kinsoku/>
        <w:wordWrap/>
        <w:overflowPunct/>
        <w:topLinePunct w:val="0"/>
        <w:autoSpaceDE w:val="0"/>
        <w:autoSpaceDN w:val="0"/>
        <w:bidi w:val="0"/>
        <w:adjustRightInd/>
        <w:snapToGrid/>
        <w:spacing w:after="0" w:line="560" w:lineRule="exact"/>
        <w:ind w:left="0" w:right="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r>
        <w:rPr>
          <w:rFonts w:hint="eastAsia" w:ascii="仿宋_GB2312" w:hAnsi="仿宋_GB2312" w:eastAsia="仿宋_GB2312" w:cs="仿宋_GB2312"/>
          <w:b/>
          <w:bCs/>
          <w:sz w:val="32"/>
          <w:szCs w:val="32"/>
          <w:lang w:val="en-US" w:eastAsia="zh-CN"/>
        </w:rPr>
        <w:t>2024年</w:t>
      </w:r>
      <w:r>
        <w:rPr>
          <w:rFonts w:hint="eastAsia" w:ascii="仿宋_GB2312" w:hAnsi="仿宋_GB2312" w:eastAsia="仿宋_GB2312" w:cs="仿宋_GB2312"/>
          <w:b/>
          <w:bCs/>
          <w:sz w:val="32"/>
          <w:szCs w:val="32"/>
        </w:rPr>
        <w:t>部门预算收支情况说明</w:t>
      </w:r>
    </w:p>
    <w:p w14:paraId="5AFA415F">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（一）收入预算情况</w:t>
      </w:r>
    </w:p>
    <w:p w14:paraId="639EA66F">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2024年红谷滩区医保局收入预算总额为1225.28万元，比上年增加63.18万元，增长5.44</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6350" b="1270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其中：财政拨款收入1225.28万元；事业单位经营收入0万元；其他收入0万元。收入预算增长的原因一方面是我单位人员增加，相应的工资和公用经费增加，另一方面是困难群众参保人员增加，相应医疗救助配套的金额增加。</w:t>
      </w:r>
    </w:p>
    <w:p w14:paraId="1675B099">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（二）支出预算情况</w:t>
      </w:r>
    </w:p>
    <w:p w14:paraId="4AA46510">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2024年红谷滩区医保局支出预算总额为1225.28万元，比上年增加63.18万元，增长5.44</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6350" b="1270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。支出预算增长的原因一方面是我单位人员增加，相应的工资和公用经费增加，另一方面是困难群众参保人员增加，相应医疗救助配套的金额增加。其中：</w:t>
      </w:r>
    </w:p>
    <w:p w14:paraId="5A32778C">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按支出项目类别划分：</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基本支出271.28万元，比上年增加19.63万元，增长7.8</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，增长的原因是我单位人员增加，相应的工资和公用经费增加。包括工资福利支出233.15万元、日常公用支出38.13万元。项目支出954万元，比上年增加43.55万元，增长4.78</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1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，增长的原因是困难群众参保人员增加，相应医疗救助配套的金额增加，包括行政事业性项目支出954万元。</w:t>
      </w:r>
    </w:p>
    <w:p w14:paraId="40879DEF">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按支出功能科目划分：</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社会保障和就业支出 30.06 万元，比上年增加1.81万元，增长6.41</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1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，增长的原因是我单位人员增加，相应的经费增加；卫生健康支出1176.69万元，比上年增加56.93万元，增长5.08</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1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，增长的原因是我单位人员增加，相应的经费增加；住房保障支出18.53万元，比上年增加4.44万元，增长31.51</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，增长的原因是我单位人员增加，相应的经费增加。</w:t>
      </w:r>
    </w:p>
    <w:p w14:paraId="33D87910">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基本支出按支出经济分类划分：</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工资福利支出 233.15万元，比上年增加16.53万元，增长7.63</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1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，增长的原因是我单位人员增加，相应的经费增加，占支出预算总额的19.03</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6350" b="12700"/>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；商品和服务支出38.13万元，比上年增加3.1万元，增长8.85</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，增长的原因是我单位人员增加，相应的经费增加，占支出预算总额的3.11</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w:t>
      </w:r>
    </w:p>
    <w:p w14:paraId="02C6EEC0">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（三）财政拨款支出情况</w:t>
      </w:r>
    </w:p>
    <w:p w14:paraId="0105AF00">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2024年红谷滩区医保局财政拨款支出预算1225.28万元，较上年增加63.18万元，增长5.44</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6350" b="1270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。财政拨款支出增长的原因一方面是我单位人员增加，相应的工资和公用增加，另一方面是困难群众参保人员增加，相应医疗救助配套的金额增加。其中：</w:t>
      </w:r>
    </w:p>
    <w:p w14:paraId="65EB21C6">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按支出项目类别划分：</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基本支出271.28万元，比上年增加19.63万元，增长7.8</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，增长的原因是我单位人员增加，相应的工资和公用经费增加。包括工资福利支出233.15万元、日常公用支出38.13万元。项目支出954万元，比上年增加43.55万元，增长4.78</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2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，增长的原因是困难群众参保人员增加，相应医疗救助配套的金额增加，包括行政事业性项目支出954万元。</w:t>
      </w:r>
    </w:p>
    <w:p w14:paraId="1A23D662">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按支出功能科目划分：</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社会保障和就业支出 30.06 万元，比上年增加1.81万元，增长6.41</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2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，增长的原因是我单位人员增加，相应的经费增加；卫生健康支出1176.69万元，比上年增加56.93万元，增长5.08</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2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，增长的原因是我单位人员增加，相应的经费增加；住房保障支出18.53万元，比上年增加4.44万元，增长31.51</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10160" b="16510"/>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，增长的原因是我单位人员增加，相应的经费增加。</w:t>
      </w:r>
    </w:p>
    <w:p w14:paraId="4856EE92">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b/>
          <w:bCs/>
          <w:i w:val="0"/>
          <w:iCs w:val="0"/>
          <w:caps w:val="0"/>
          <w:color w:val="333333"/>
          <w:spacing w:val="0"/>
          <w:kern w:val="2"/>
          <w:sz w:val="36"/>
          <w:szCs w:val="36"/>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（四）政府性基金情况</w:t>
      </w:r>
    </w:p>
    <w:p w14:paraId="47A269DC">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2024年本部门没有政府性基金预算</w:t>
      </w:r>
    </w:p>
    <w:p w14:paraId="4DDAECF8">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（五）机关运行经费等重要情况说明</w:t>
      </w:r>
    </w:p>
    <w:p w14:paraId="4684037C">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2024年本部门机关运行费38.13万元，比 2023年预算增加3.1万元，增长8.85</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drawing>
          <wp:inline distT="0" distB="0" distL="0" distR="0">
            <wp:extent cx="85090" cy="154940"/>
            <wp:effectExtent l="0" t="0" r="6350" b="12700"/>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。机关运行经费预算增长的原因是我单位人员增加，相应的运行经费增加。</w:t>
      </w:r>
    </w:p>
    <w:p w14:paraId="382EA6A5">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33764175">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（六）政府采购情况</w:t>
      </w:r>
    </w:p>
    <w:p w14:paraId="16816A0A">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2024年我单位政府采购预算共安排125万元。其中，货物预算45万元，工程预算0万元，服务预算80万元。</w:t>
      </w:r>
    </w:p>
    <w:p w14:paraId="0FEE0D68">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（七）国有资产占有使用情况</w:t>
      </w:r>
    </w:p>
    <w:p w14:paraId="083D0CAE">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2024年部门预算安排购置车辆0 辆，未安排购置单位价值200 万元以上大型设备。</w:t>
      </w:r>
    </w:p>
    <w:p w14:paraId="3077EB14">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3" w:firstLineChars="200"/>
        <w:jc w:val="both"/>
        <w:textAlignment w:val="auto"/>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bCs/>
          <w:i w:val="0"/>
          <w:iCs w:val="0"/>
          <w:caps w:val="0"/>
          <w:color w:val="333333"/>
          <w:spacing w:val="0"/>
          <w:kern w:val="2"/>
          <w:sz w:val="32"/>
          <w:szCs w:val="32"/>
          <w:shd w:val="clear" w:fill="FFFFFF"/>
          <w:lang w:val="en-US" w:eastAsia="zh-CN" w:bidi="ar-SA"/>
        </w:rPr>
        <w:t>（八）区医保局项目情况说明(部门本级）</w:t>
      </w:r>
    </w:p>
    <w:p w14:paraId="43FBB07B">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1.城乡医疗救助项目</w:t>
      </w:r>
    </w:p>
    <w:p w14:paraId="0DCA4F6A">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   1）项目概述：科学确定医疗救助对象范围，夯实医疗救助托底保障，健全防范和化解因病致贫返贫长效机制，强化基本医疗保险、大病保险、医疗救助三重制度综合保障，实事求是确定困难群众医疗保障待遇标准，确保困难群众基本医疗有保障，不因罹患重特大疾病影响基本生活，同时避免过度保障。</w:t>
      </w:r>
    </w:p>
    <w:p w14:paraId="6D6676A2">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   2）立项依据：洪府办发【2022】160号</w:t>
      </w:r>
    </w:p>
    <w:p w14:paraId="53FD03BB">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   3）实施主体:红谷滩区医疗保障局</w:t>
      </w:r>
    </w:p>
    <w:p w14:paraId="100F22C5">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   4）实施方案：困难群众重特大疾病医疗保险和救助工作实行属地管理，以县（区）为单位组织实施。县（区）各相关部门要协同做好困难群众身份认定、信息共享、信息维护、动态管理、待遇保障等工作，确保困难群众充分享受相关保障待遇。</w:t>
      </w:r>
    </w:p>
    <w:p w14:paraId="18B2F92E">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   5）实施周期:1年</w:t>
      </w:r>
    </w:p>
    <w:p w14:paraId="3EC5268E">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   6）年度预算安排：600万元</w:t>
      </w:r>
    </w:p>
    <w:p w14:paraId="14673F25">
      <w:pPr>
        <w:pStyle w:val="4"/>
        <w:keepNext w:val="0"/>
        <w:keepLines w:val="0"/>
        <w:pageBreakBefore w:val="0"/>
        <w:widowControl w:val="0"/>
        <w:kinsoku/>
        <w:wordWrap/>
        <w:overflowPunct/>
        <w:topLinePunct w:val="0"/>
        <w:autoSpaceDE w:val="0"/>
        <w:autoSpaceDN w:val="0"/>
        <w:bidi w:val="0"/>
        <w:adjustRightInd/>
        <w:snapToGrid/>
        <w:spacing w:after="0" w:line="560" w:lineRule="exact"/>
        <w:ind w:left="0" w:right="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w:t>
      </w:r>
      <w:r>
        <w:rPr>
          <w:rFonts w:hint="eastAsia" w:ascii="仿宋_GB2312" w:hAnsi="仿宋_GB2312" w:eastAsia="仿宋_GB2312" w:cs="仿宋_GB2312"/>
          <w:b/>
          <w:bCs/>
          <w:sz w:val="32"/>
          <w:szCs w:val="32"/>
          <w:lang w:val="en-US" w:eastAsia="zh-CN"/>
        </w:rPr>
        <w:t>2024年</w:t>
      </w:r>
      <w:r>
        <w:rPr>
          <w:rFonts w:hint="eastAsia" w:ascii="仿宋_GB2312" w:hAnsi="仿宋_GB2312" w:eastAsia="仿宋_GB2312" w:cs="仿宋_GB2312"/>
          <w:b/>
          <w:bCs/>
          <w:sz w:val="32"/>
          <w:szCs w:val="32"/>
        </w:rPr>
        <w:t>“三公”经费预算情况说明</w:t>
      </w:r>
    </w:p>
    <w:p w14:paraId="15512FF6">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2024年“三公”经费年初预算安排1.9万元。其中:</w:t>
      </w:r>
    </w:p>
    <w:p w14:paraId="135F3AA5">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（一）因公出国（境）经费 0 万元，与上年相比持平。</w:t>
      </w:r>
    </w:p>
    <w:p w14:paraId="58635F78">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（二）公务接待费1.9万元，与上年相比减少0.1万元。</w:t>
      </w:r>
    </w:p>
    <w:p w14:paraId="086FE43E">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（三）公务用车运行维护费 0 万元，与上年相比持平。</w:t>
      </w:r>
    </w:p>
    <w:p w14:paraId="1C98B828">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（四）公务用车购置费 0 万元，比上年相比持平。</w:t>
      </w:r>
    </w:p>
    <w:p w14:paraId="2706473F">
      <w:pPr>
        <w:keepNext w:val="0"/>
        <w:keepLines w:val="0"/>
        <w:pageBreakBefore w:val="0"/>
        <w:widowControl w:val="0"/>
        <w:kinsoku/>
        <w:wordWrap/>
        <w:overflowPunct/>
        <w:topLinePunct w:val="0"/>
        <w:bidi w:val="0"/>
        <w:adjustRightInd/>
        <w:snapToGrid/>
        <w:spacing w:line="560" w:lineRule="exact"/>
        <w:ind w:left="0" w:right="0" w:firstLine="568" w:firstLineChars="200"/>
        <w:textAlignment w:val="auto"/>
        <w:rPr>
          <w:rFonts w:hint="eastAsia" w:ascii="仿宋_GB2312" w:hAnsi="仿宋_GB2312" w:eastAsia="仿宋_GB2312" w:cs="仿宋_GB2312"/>
          <w:i w:val="0"/>
          <w:iCs w:val="0"/>
          <w:caps w:val="0"/>
          <w:color w:val="333333"/>
          <w:spacing w:val="-18"/>
          <w:sz w:val="32"/>
          <w:szCs w:val="32"/>
          <w:shd w:val="clear" w:fill="FFFFFF"/>
        </w:rPr>
      </w:pPr>
      <w:r>
        <w:rPr>
          <w:rFonts w:hint="eastAsia" w:ascii="仿宋_GB2312" w:hAnsi="仿宋_GB2312" w:eastAsia="仿宋_GB2312" w:cs="仿宋_GB2312"/>
          <w:i w:val="0"/>
          <w:iCs w:val="0"/>
          <w:caps w:val="0"/>
          <w:color w:val="333333"/>
          <w:spacing w:val="-18"/>
          <w:sz w:val="32"/>
          <w:szCs w:val="32"/>
          <w:shd w:val="clear" w:fill="FFFFFF"/>
        </w:rPr>
        <w:br w:type="page"/>
      </w:r>
    </w:p>
    <w:p w14:paraId="30DF1B7C">
      <w:pPr>
        <w:pStyle w:val="3"/>
        <w:keepNext w:val="0"/>
        <w:keepLines w:val="0"/>
        <w:pageBreakBefore w:val="0"/>
        <w:widowControl w:val="0"/>
        <w:tabs>
          <w:tab w:val="left" w:pos="1604"/>
        </w:tabs>
        <w:kinsoku/>
        <w:wordWrap/>
        <w:overflowPunct/>
        <w:topLinePunct w:val="0"/>
        <w:autoSpaceDE w:val="0"/>
        <w:autoSpaceDN w:val="0"/>
        <w:bidi w:val="0"/>
        <w:adjustRightInd/>
        <w:snapToGrid/>
        <w:spacing w:before="0" w:line="560" w:lineRule="exact"/>
        <w:ind w:left="0" w:right="164"/>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黑体" w:hAnsi="黑体" w:eastAsia="黑体" w:cs="黑体"/>
          <w:b/>
          <w:bCs/>
          <w:sz w:val="36"/>
          <w:szCs w:val="36"/>
          <w:lang w:val="en-US" w:eastAsia="zh-CN"/>
        </w:rPr>
        <w:t>第三部分</w:t>
      </w:r>
      <w:r>
        <w:rPr>
          <w:rFonts w:hint="eastAsia" w:ascii="黑体" w:hAnsi="黑体" w:eastAsia="黑体" w:cs="黑体"/>
          <w:b/>
          <w:bCs/>
          <w:sz w:val="36"/>
          <w:szCs w:val="36"/>
          <w:lang w:val="en-US" w:eastAsia="zh-CN"/>
        </w:rPr>
        <w:tab/>
      </w:r>
      <w:r>
        <w:rPr>
          <w:rFonts w:hint="eastAsia" w:ascii="黑体" w:hAnsi="黑体" w:eastAsia="黑体" w:cs="黑体"/>
          <w:b/>
          <w:bCs/>
          <w:sz w:val="36"/>
          <w:szCs w:val="36"/>
          <w:lang w:val="en-US" w:eastAsia="zh-CN"/>
        </w:rPr>
        <w:t>红谷滩区医保局2024年部门预算表</w:t>
      </w:r>
    </w:p>
    <w:p w14:paraId="01FD3968">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b/>
          <w:sz w:val="32"/>
          <w:szCs w:val="32"/>
        </w:rPr>
      </w:pPr>
    </w:p>
    <w:p w14:paraId="2474A5FD">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（详见附件，若其中某张表为空表或表中数据为 0， 则说明没有相关收支预算安排。）</w:t>
      </w:r>
    </w:p>
    <w:p w14:paraId="0037F246">
      <w:pPr>
        <w:pStyle w:val="3"/>
        <w:keepNext w:val="0"/>
        <w:keepLines w:val="0"/>
        <w:pageBreakBefore w:val="0"/>
        <w:widowControl w:val="0"/>
        <w:kinsoku/>
        <w:wordWrap/>
        <w:overflowPunct/>
        <w:topLinePunct w:val="0"/>
        <w:autoSpaceDE w:val="0"/>
        <w:autoSpaceDN w:val="0"/>
        <w:bidi w:val="0"/>
        <w:adjustRightInd/>
        <w:snapToGrid/>
        <w:spacing w:before="0" w:beforeLines="0" w:after="0" w:afterLines="0" w:line="560" w:lineRule="exact"/>
        <w:ind w:left="0"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pPr>
    </w:p>
    <w:p w14:paraId="74C381D6">
      <w:pPr>
        <w:jc w:val="center"/>
        <w:rPr>
          <w:rFonts w:hint="eastAsia" w:ascii="黑体" w:hAnsi="黑体" w:eastAsia="黑体" w:cs="黑体"/>
          <w:b/>
          <w:bCs/>
          <w:kern w:val="2"/>
          <w:sz w:val="36"/>
          <w:szCs w:val="36"/>
          <w:lang w:val="en-US" w:eastAsia="zh-CN" w:bidi="ar-SA"/>
        </w:rPr>
      </w:pPr>
      <w:r>
        <w:rPr>
          <w:rFonts w:hint="eastAsia" w:ascii="黑体" w:hAnsi="黑体" w:eastAsia="黑体" w:cs="黑体"/>
          <w:b/>
          <w:bCs/>
          <w:kern w:val="2"/>
          <w:sz w:val="36"/>
          <w:szCs w:val="36"/>
          <w:lang w:val="en-US" w:eastAsia="zh-CN" w:bidi="ar-SA"/>
        </w:rPr>
        <w:t>第四部分</w:t>
      </w:r>
      <w:r>
        <w:rPr>
          <w:rFonts w:hint="eastAsia" w:ascii="黑体" w:hAnsi="黑体" w:eastAsia="黑体" w:cs="黑体"/>
          <w:b/>
          <w:bCs/>
          <w:kern w:val="2"/>
          <w:sz w:val="36"/>
          <w:szCs w:val="36"/>
          <w:lang w:val="en-US" w:eastAsia="zh-CN" w:bidi="ar-SA"/>
        </w:rPr>
        <w:tab/>
      </w:r>
      <w:r>
        <w:rPr>
          <w:rFonts w:hint="eastAsia" w:ascii="黑体" w:hAnsi="黑体" w:eastAsia="黑体" w:cs="黑体"/>
          <w:b/>
          <w:bCs/>
          <w:kern w:val="2"/>
          <w:sz w:val="36"/>
          <w:szCs w:val="36"/>
          <w:lang w:val="en-US" w:eastAsia="zh-CN" w:bidi="ar-SA"/>
        </w:rPr>
        <w:t>名词解释</w:t>
      </w:r>
    </w:p>
    <w:p w14:paraId="5FB19187">
      <w:pPr>
        <w:pStyle w:val="4"/>
        <w:keepNext w:val="0"/>
        <w:keepLines w:val="0"/>
        <w:pageBreakBefore w:val="0"/>
        <w:widowControl w:val="0"/>
        <w:kinsoku/>
        <w:wordWrap/>
        <w:overflowPunct/>
        <w:topLinePunct w:val="0"/>
        <w:autoSpaceDE w:val="0"/>
        <w:autoSpaceDN w:val="0"/>
        <w:bidi w:val="0"/>
        <w:adjustRightInd/>
        <w:snapToGrid/>
        <w:spacing w:before="0" w:line="560" w:lineRule="exact"/>
        <w:jc w:val="both"/>
        <w:textAlignment w:val="auto"/>
        <w:rPr>
          <w:rFonts w:hint="eastAsia" w:ascii="仿宋_GB2312" w:hAnsi="仿宋_GB2312" w:eastAsia="仿宋_GB2312" w:cs="仿宋_GB2312"/>
          <w:b/>
          <w:bCs/>
          <w:kern w:val="2"/>
          <w:sz w:val="32"/>
          <w:szCs w:val="32"/>
          <w:lang w:val="en-US" w:eastAsia="zh-CN" w:bidi="ar-SA"/>
        </w:rPr>
      </w:pPr>
    </w:p>
    <w:p w14:paraId="21C19A9C">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47"/>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一、收入科目</w:t>
      </w:r>
    </w:p>
    <w:p w14:paraId="74EC7C46">
      <w:pPr>
        <w:keepNext w:val="0"/>
        <w:keepLines w:val="0"/>
        <w:pageBreakBefore w:val="0"/>
        <w:widowControl w:val="0"/>
        <w:kinsoku/>
        <w:wordWrap/>
        <w:overflowPunct/>
        <w:topLinePunct w:val="0"/>
        <w:autoSpaceDE w:val="0"/>
        <w:autoSpaceDN w:val="0"/>
        <w:bidi w:val="0"/>
        <w:adjustRightInd/>
        <w:snapToGrid/>
        <w:spacing w:before="0" w:line="560" w:lineRule="exact"/>
        <w:ind w:left="750" w:right="0" w:firstLine="0"/>
        <w:jc w:val="both"/>
        <w:textAlignment w:val="auto"/>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bCs w:val="0"/>
          <w:sz w:val="32"/>
          <w:szCs w:val="32"/>
        </w:rPr>
        <w:t>（一）财政拨款：</w:t>
      </w:r>
      <w:r>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t>指本级财政当年拨付的资金。</w:t>
      </w:r>
    </w:p>
    <w:p w14:paraId="1C9A7E30">
      <w:pPr>
        <w:keepNext w:val="0"/>
        <w:keepLines w:val="0"/>
        <w:pageBreakBefore w:val="0"/>
        <w:widowControl w:val="0"/>
        <w:kinsoku/>
        <w:wordWrap/>
        <w:overflowPunct/>
        <w:topLinePunct w:val="0"/>
        <w:autoSpaceDE w:val="0"/>
        <w:autoSpaceDN w:val="0"/>
        <w:bidi w:val="0"/>
        <w:adjustRightInd/>
        <w:snapToGrid/>
        <w:spacing w:before="0" w:line="560" w:lineRule="exact"/>
        <w:ind w:left="107" w:right="263" w:firstLine="643"/>
        <w:jc w:val="both"/>
        <w:textAlignment w:val="auto"/>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bCs w:val="0"/>
          <w:spacing w:val="7"/>
          <w:sz w:val="32"/>
          <w:szCs w:val="32"/>
        </w:rPr>
        <w:t>（二</w:t>
      </w:r>
      <w:r>
        <w:rPr>
          <w:rFonts w:hint="eastAsia" w:ascii="仿宋_GB2312" w:hAnsi="仿宋_GB2312" w:eastAsia="仿宋_GB2312" w:cs="仿宋_GB2312"/>
          <w:b w:val="0"/>
          <w:bCs w:val="0"/>
          <w:spacing w:val="5"/>
          <w:sz w:val="32"/>
          <w:szCs w:val="32"/>
        </w:rPr>
        <w:t>）</w:t>
      </w:r>
      <w:r>
        <w:rPr>
          <w:rFonts w:hint="eastAsia" w:ascii="仿宋_GB2312" w:hAnsi="仿宋_GB2312" w:eastAsia="仿宋_GB2312" w:cs="仿宋_GB2312"/>
          <w:b w:val="0"/>
          <w:bCs w:val="0"/>
          <w:spacing w:val="-6"/>
          <w:sz w:val="32"/>
          <w:szCs w:val="32"/>
        </w:rPr>
        <w:t>事业收入：</w:t>
      </w:r>
      <w:r>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t>指事业单位开展专业业务活动及辅助活动取得的收入。</w:t>
      </w:r>
    </w:p>
    <w:p w14:paraId="7507D6B5">
      <w:pPr>
        <w:keepNext w:val="0"/>
        <w:keepLines w:val="0"/>
        <w:pageBreakBefore w:val="0"/>
        <w:widowControl w:val="0"/>
        <w:kinsoku/>
        <w:wordWrap/>
        <w:overflowPunct/>
        <w:topLinePunct w:val="0"/>
        <w:autoSpaceDE w:val="0"/>
        <w:autoSpaceDN w:val="0"/>
        <w:bidi w:val="0"/>
        <w:adjustRightInd/>
        <w:snapToGrid/>
        <w:spacing w:before="0" w:line="560" w:lineRule="exact"/>
        <w:ind w:left="107" w:right="269" w:firstLine="643"/>
        <w:jc w:val="both"/>
        <w:textAlignment w:val="auto"/>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bCs w:val="0"/>
          <w:sz w:val="32"/>
          <w:szCs w:val="32"/>
        </w:rPr>
        <w:t>（三</w:t>
      </w:r>
      <w:r>
        <w:rPr>
          <w:rFonts w:hint="eastAsia" w:ascii="仿宋_GB2312" w:hAnsi="仿宋_GB2312" w:eastAsia="仿宋_GB2312" w:cs="仿宋_GB2312"/>
          <w:b w:val="0"/>
          <w:bCs w:val="0"/>
          <w:spacing w:val="-67"/>
          <w:sz w:val="32"/>
          <w:szCs w:val="32"/>
        </w:rPr>
        <w:t>）</w:t>
      </w:r>
      <w:r>
        <w:rPr>
          <w:rFonts w:hint="eastAsia" w:ascii="仿宋_GB2312" w:hAnsi="仿宋_GB2312" w:eastAsia="仿宋_GB2312" w:cs="仿宋_GB2312"/>
          <w:b w:val="0"/>
          <w:bCs w:val="0"/>
          <w:spacing w:val="-8"/>
          <w:sz w:val="32"/>
          <w:szCs w:val="32"/>
        </w:rPr>
        <w:t>事业单位经营收入：</w:t>
      </w:r>
      <w:r>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t>指事业单位在专业业务活动及辅助活动之外开展非独立核算经营活动取得的收入。</w:t>
      </w:r>
    </w:p>
    <w:p w14:paraId="0950F182">
      <w:pPr>
        <w:keepNext w:val="0"/>
        <w:keepLines w:val="0"/>
        <w:pageBreakBefore w:val="0"/>
        <w:widowControl w:val="0"/>
        <w:kinsoku/>
        <w:wordWrap/>
        <w:overflowPunct/>
        <w:topLinePunct w:val="0"/>
        <w:autoSpaceDE w:val="0"/>
        <w:autoSpaceDN w:val="0"/>
        <w:bidi w:val="0"/>
        <w:adjustRightInd/>
        <w:snapToGrid/>
        <w:spacing w:before="0" w:line="560" w:lineRule="exact"/>
        <w:ind w:left="107" w:right="269" w:firstLine="643"/>
        <w:jc w:val="both"/>
        <w:textAlignment w:val="auto"/>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bCs w:val="0"/>
          <w:sz w:val="32"/>
          <w:szCs w:val="32"/>
        </w:rPr>
        <w:t>（四）其他收入：</w:t>
      </w:r>
      <w:r>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t>指除财政拨款、事业收入、事业单位经营</w:t>
      </w:r>
    </w:p>
    <w:p w14:paraId="2FB32014">
      <w:pPr>
        <w:keepNext w:val="0"/>
        <w:keepLines w:val="0"/>
        <w:pageBreakBefore w:val="0"/>
        <w:widowControl w:val="0"/>
        <w:kinsoku/>
        <w:wordWrap/>
        <w:overflowPunct/>
        <w:topLinePunct w:val="0"/>
        <w:autoSpaceDE w:val="0"/>
        <w:autoSpaceDN w:val="0"/>
        <w:bidi w:val="0"/>
        <w:adjustRightInd/>
        <w:snapToGrid/>
        <w:spacing w:before="0" w:line="560" w:lineRule="exact"/>
        <w:ind w:left="107" w:right="269" w:firstLine="643"/>
        <w:jc w:val="both"/>
        <w:textAlignment w:val="auto"/>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t>收入等以外的各项收入。</w:t>
      </w:r>
    </w:p>
    <w:p w14:paraId="7BD41D84">
      <w:pPr>
        <w:keepNext w:val="0"/>
        <w:keepLines w:val="0"/>
        <w:pageBreakBefore w:val="0"/>
        <w:widowControl w:val="0"/>
        <w:kinsoku/>
        <w:wordWrap/>
        <w:overflowPunct/>
        <w:topLinePunct w:val="0"/>
        <w:autoSpaceDE w:val="0"/>
        <w:autoSpaceDN w:val="0"/>
        <w:bidi w:val="0"/>
        <w:adjustRightInd/>
        <w:snapToGrid/>
        <w:spacing w:before="0" w:line="560" w:lineRule="exact"/>
        <w:ind w:left="107" w:right="271" w:firstLine="643"/>
        <w:jc w:val="both"/>
        <w:textAlignment w:val="auto"/>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pP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五</w:t>
      </w:r>
      <w:r>
        <w:rPr>
          <w:rFonts w:hint="eastAsia" w:ascii="仿宋_GB2312" w:hAnsi="仿宋_GB2312" w:eastAsia="仿宋_GB2312" w:cs="仿宋_GB2312"/>
          <w:b w:val="0"/>
          <w:bCs w:val="0"/>
          <w:sz w:val="32"/>
          <w:szCs w:val="32"/>
        </w:rPr>
        <w:t>）上年结转和结余：</w:t>
      </w:r>
      <w:r>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t>填列 2024年全部结转和结余的资金数，包括当年结转结余资金和历年滚存结转结余资金。</w:t>
      </w:r>
    </w:p>
    <w:p w14:paraId="5AEE1B60">
      <w:pPr>
        <w:pStyle w:val="4"/>
        <w:keepNext w:val="0"/>
        <w:keepLines w:val="0"/>
        <w:pageBreakBefore w:val="0"/>
        <w:widowControl w:val="0"/>
        <w:kinsoku/>
        <w:wordWrap/>
        <w:overflowPunct/>
        <w:topLinePunct w:val="0"/>
        <w:autoSpaceDE w:val="0"/>
        <w:autoSpaceDN w:val="0"/>
        <w:bidi w:val="0"/>
        <w:adjustRightInd/>
        <w:snapToGrid/>
        <w:spacing w:before="0" w:line="560" w:lineRule="exact"/>
        <w:ind w:left="747"/>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二、支出科目</w:t>
      </w:r>
    </w:p>
    <w:p w14:paraId="4D72F836">
      <w:pPr>
        <w:pStyle w:val="4"/>
        <w:keepNext w:val="0"/>
        <w:keepLines w:val="0"/>
        <w:pageBreakBefore w:val="0"/>
        <w:widowControl w:val="0"/>
        <w:kinsoku/>
        <w:wordWrap/>
        <w:overflowPunct/>
        <w:topLinePunct w:val="0"/>
        <w:autoSpaceDE w:val="0"/>
        <w:autoSpaceDN w:val="0"/>
        <w:bidi w:val="0"/>
        <w:adjustRightInd/>
        <w:snapToGrid/>
        <w:spacing w:before="0" w:after="0" w:line="560" w:lineRule="exact"/>
        <w:ind w:right="0" w:firstLine="640" w:firstLineChars="200"/>
        <w:jc w:val="both"/>
        <w:textAlignment w:val="auto"/>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sectPr>
          <w:pgSz w:w="11910" w:h="16840"/>
          <w:pgMar w:top="1600" w:right="1200" w:bottom="1460" w:left="1480" w:header="0" w:footer="1268" w:gutter="0"/>
          <w:pgNumType w:fmt="numberInDash"/>
          <w:cols w:space="720" w:num="1"/>
        </w:sectPr>
      </w:pPr>
      <w:r>
        <w:rPr>
          <w:rFonts w:hint="eastAsia" w:ascii="仿宋_GB2312" w:hAnsi="仿宋_GB2312" w:eastAsia="仿宋_GB2312" w:cs="仿宋_GB2312"/>
          <w:b w:val="0"/>
          <w:bCs w:val="0"/>
          <w:i w:val="0"/>
          <w:iCs w:val="0"/>
          <w:caps w:val="0"/>
          <w:color w:val="333333"/>
          <w:spacing w:val="0"/>
          <w:kern w:val="2"/>
          <w:sz w:val="32"/>
          <w:szCs w:val="32"/>
          <w:shd w:val="clear" w:fill="FFFFFF"/>
          <w:lang w:val="en-US" w:eastAsia="zh-CN" w:bidi="ar-SA"/>
        </w:rPr>
        <w:t xml:space="preserve">“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 </w:t>
      </w:r>
      <w:r>
        <w:rPr>
          <w:rFonts w:hint="eastAsia" w:ascii="仿宋_GB2312" w:hAnsi="仿宋_GB2312" w:eastAsia="仿宋_GB2312" w:cs="仿宋_GB2312"/>
          <w:i w:val="0"/>
          <w:iCs w:val="0"/>
          <w:caps w:val="0"/>
          <w:color w:val="333333"/>
          <w:spacing w:val="0"/>
          <w:kern w:val="2"/>
          <w:sz w:val="32"/>
          <w:szCs w:val="32"/>
          <w:shd w:val="clear" w:fill="FFFFFF"/>
          <w:lang w:val="en-US" w:eastAsia="zh-CN" w:bidi="ar-SA"/>
        </w:rPr>
        <w:t>用等支出；公务接待费反映单位按规定开支的各类公务接待（含外宾接待）支出</w:t>
      </w:r>
    </w:p>
    <w:p w14:paraId="51029F33">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8CC6C1D-F15B-4F36-81F1-5658E30A9E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EC2678F9-5677-4A75-BFC2-8D12298B6040}"/>
  </w:font>
  <w:font w:name="方正小标宋简体">
    <w:panose1 w:val="03000509000000000000"/>
    <w:charset w:val="86"/>
    <w:family w:val="auto"/>
    <w:pitch w:val="default"/>
    <w:sig w:usb0="00000001" w:usb1="080E0000" w:usb2="00000000" w:usb3="00000000" w:csb0="00040000" w:csb1="00000000"/>
    <w:embedRegular r:id="rId3" w:fontKey="{CB7B600A-9E66-4AEB-A47C-54113FC3A56C}"/>
  </w:font>
  <w:font w:name="仿宋_GB2312">
    <w:panose1 w:val="02010609030101010101"/>
    <w:charset w:val="86"/>
    <w:family w:val="auto"/>
    <w:pitch w:val="default"/>
    <w:sig w:usb0="00000001" w:usb1="080E0000" w:usb2="00000000" w:usb3="00000000" w:csb0="00040000" w:csb1="00000000"/>
    <w:embedRegular r:id="rId4" w:fontKey="{686A838A-603F-49B3-AF8B-F93D4779A7D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VkYWJiNTUzZTQzMjFjNDQ3MDE5OTNlM2ZjNzAyMmMifQ=="/>
  </w:docVars>
  <w:rsids>
    <w:rsidRoot w:val="28150548"/>
    <w:rsid w:val="021A6531"/>
    <w:rsid w:val="07A30D48"/>
    <w:rsid w:val="0B8E1D6F"/>
    <w:rsid w:val="0ECF6355"/>
    <w:rsid w:val="10A1798E"/>
    <w:rsid w:val="118B7CD4"/>
    <w:rsid w:val="12EF558E"/>
    <w:rsid w:val="1DAC5A73"/>
    <w:rsid w:val="1DC6338F"/>
    <w:rsid w:val="25DF512B"/>
    <w:rsid w:val="28150548"/>
    <w:rsid w:val="297168A5"/>
    <w:rsid w:val="2F6436F8"/>
    <w:rsid w:val="2FD97C3C"/>
    <w:rsid w:val="30FA7AC8"/>
    <w:rsid w:val="346D53BD"/>
    <w:rsid w:val="38F60882"/>
    <w:rsid w:val="396B2E28"/>
    <w:rsid w:val="437B2B68"/>
    <w:rsid w:val="444C3D3F"/>
    <w:rsid w:val="496A2FBB"/>
    <w:rsid w:val="4A6E17F6"/>
    <w:rsid w:val="4C434008"/>
    <w:rsid w:val="521673B4"/>
    <w:rsid w:val="6BEB7FC4"/>
    <w:rsid w:val="6CA303DA"/>
    <w:rsid w:val="6EEA28A6"/>
    <w:rsid w:val="72587BCF"/>
    <w:rsid w:val="762B1157"/>
    <w:rsid w:val="78DC48F3"/>
    <w:rsid w:val="7AF63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3"/>
    <w:basedOn w:val="1"/>
    <w:next w:val="1"/>
    <w:autoRedefine/>
    <w:semiHidden/>
    <w:unhideWhenUsed/>
    <w:qFormat/>
    <w:uiPriority w:val="0"/>
    <w:pPr>
      <w:keepNext/>
      <w:keepLines/>
      <w:spacing w:before="260" w:beforeLines="0" w:beforeAutospacing="0" w:after="260" w:afterLines="0" w:afterAutospacing="0" w:line="500" w:lineRule="exact"/>
      <w:outlineLvl w:val="2"/>
    </w:pPr>
    <w:rPr>
      <w:rFonts w:ascii="Times New Roman" w:hAnsi="Times New Roman" w:eastAsia="仿宋"/>
      <w:sz w:val="30"/>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Body Text"/>
    <w:basedOn w:val="1"/>
    <w:autoRedefine/>
    <w:unhideWhenUsed/>
    <w:qFormat/>
    <w:uiPriority w:val="99"/>
    <w:pPr>
      <w:spacing w:after="120"/>
    </w:pPr>
  </w:style>
  <w:style w:type="paragraph" w:styleId="5">
    <w:name w:val="footer"/>
    <w:basedOn w:val="1"/>
    <w:autoRedefine/>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6">
    <w:name w:val="Normal (Web)"/>
    <w:basedOn w:val="1"/>
    <w:autoRedefine/>
    <w:qFormat/>
    <w:uiPriority w:val="0"/>
    <w:rPr>
      <w:sz w:val="24"/>
    </w:rPr>
  </w:style>
  <w:style w:type="character" w:customStyle="1" w:styleId="9">
    <w:name w:val="row_tree_level_4"/>
    <w:basedOn w:val="8"/>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2937</Words>
  <Characters>3248</Characters>
  <Lines>0</Lines>
  <Paragraphs>0</Paragraphs>
  <TotalTime>8</TotalTime>
  <ScaleCrop>false</ScaleCrop>
  <LinksUpToDate>false</LinksUpToDate>
  <CharactersWithSpaces>3273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2024-02-04T02:36:00Z</dcterms:created>
  <dc:creator>WPS_1559561393</dc:creator>
  <cp:lastModifiedBy>无关風影</cp:lastModifiedBy>
  <cp:lastPrinted>2025-09-18T01:25:00Z</cp:lastPrinted>
  <dcterms:modified xsi:type="dcterms:W3CDTF">2025-09-18T03:26:27Z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6A86E49D86A84288B01B1054D8DA8ADF_13</vt:lpwstr>
  </property>
  <property fmtid="{D5CDD505-2E9C-101B-9397-08002B2CF9AE}" pid="4" name="KSOTemplateDocerSaveRecord">
    <vt:lpwstr>eyJoZGlkIjoiZTA0MDViNDI5NDA5MTdlMzcyMTY0MTcwNDZjZjgyYzUiLCJ1c2VySWQiOiI5NTk2OTEwOTgifQ==</vt:lpwstr>
  </property>
</Properties>
</file>