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tabs>
          <w:tab w:val="left" w:pos="1800"/>
        </w:tabs>
        <w:kinsoku/>
        <w:wordWrap/>
        <w:overflowPunct/>
        <w:topLinePunct w:val="0"/>
        <w:autoSpaceDE/>
        <w:autoSpaceDN/>
        <w:bidi w:val="0"/>
        <w:spacing w:after="0" w:line="460" w:lineRule="exact"/>
        <w:ind w:firstLine="560"/>
        <w:textAlignment w:val="auto"/>
        <w:rPr>
          <w:rFonts w:hint="eastAsia"/>
        </w:rPr>
      </w:pPr>
    </w:p>
    <w:p>
      <w:pPr>
        <w:pStyle w:val="14"/>
        <w:keepNext w:val="0"/>
        <w:keepLines w:val="0"/>
        <w:pageBreakBefore w:val="0"/>
        <w:widowControl w:val="0"/>
        <w:kinsoku/>
        <w:wordWrap/>
        <w:overflowPunct/>
        <w:topLinePunct w:val="0"/>
        <w:autoSpaceDE/>
        <w:autoSpaceDN/>
        <w:bidi w:val="0"/>
        <w:spacing w:line="460" w:lineRule="exact"/>
        <w:ind w:left="0" w:leftChars="0" w:firstLine="0" w:firstLineChars="0"/>
        <w:textAlignment w:val="auto"/>
        <w:rPr>
          <w:rFonts w:hint="eastAsia"/>
        </w:rPr>
      </w:pPr>
    </w:p>
    <w:p>
      <w:pPr>
        <w:pStyle w:val="14"/>
        <w:keepNext w:val="0"/>
        <w:keepLines w:val="0"/>
        <w:pageBreakBefore w:val="0"/>
        <w:widowControl w:val="0"/>
        <w:kinsoku/>
        <w:wordWrap/>
        <w:overflowPunct/>
        <w:topLinePunct w:val="0"/>
        <w:autoSpaceDE/>
        <w:autoSpaceDN/>
        <w:bidi w:val="0"/>
        <w:spacing w:line="4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after="0" w:line="46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0" w:line="46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200" w:after="0" w:line="460" w:lineRule="exact"/>
        <w:jc w:val="center"/>
        <w:textAlignment w:val="auto"/>
        <w:rPr>
          <w:rFonts w:hint="eastAsia" w:ascii="仿宋_GB2312" w:eastAsia="仿宋_GB2312"/>
          <w:sz w:val="32"/>
          <w:szCs w:val="32"/>
        </w:rPr>
      </w:pPr>
      <w:r>
        <w:rPr>
          <w:rFonts w:hint="eastAsia" w:ascii="仿宋_GB2312" w:eastAsia="仿宋_GB2312"/>
          <w:sz w:val="32"/>
          <w:szCs w:val="32"/>
        </w:rPr>
        <w:t>红谷府</w:t>
      </w:r>
      <w:r>
        <w:rPr>
          <w:rFonts w:hint="eastAsia" w:ascii="仿宋_GB2312" w:eastAsia="仿宋_GB2312"/>
          <w:sz w:val="32"/>
          <w:szCs w:val="32"/>
          <w:lang w:val="en-US" w:eastAsia="zh-CN"/>
        </w:rPr>
        <w:t>发</w:t>
      </w:r>
      <w:r>
        <w:rPr>
          <w:rFonts w:hint="eastAsia" w:ascii="仿宋_GB2312" w:eastAsia="仿宋_GB2312"/>
          <w:sz w:val="32"/>
          <w:szCs w:val="32"/>
        </w:rPr>
        <w:t>〔</w:t>
      </w:r>
      <w:r>
        <w:rPr>
          <w:rFonts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号</w:t>
      </w:r>
    </w:p>
    <w:p>
      <w:pPr>
        <w:pStyle w:val="13"/>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40" w:lineRule="exact"/>
        <w:ind w:left="0"/>
        <w:jc w:val="center"/>
        <w:textAlignment w:val="baseline"/>
        <w:rPr>
          <w:rFonts w:hint="eastAsia" w:ascii="方正小标宋简体" w:hAnsi="Times New Roman" w:eastAsia="方正小标宋简体" w:cs="Times New Roman"/>
          <w:b/>
          <w:bCs w:val="0"/>
          <w:color w:val="000000"/>
          <w:kern w:val="2"/>
          <w:sz w:val="44"/>
          <w:szCs w:val="44"/>
          <w:lang w:val="en-US" w:eastAsia="zh-CN" w:bidi="ar-SA"/>
        </w:rPr>
      </w:pPr>
      <w:r>
        <w:rPr>
          <w:rFonts w:hint="eastAsia" w:ascii="方正小标宋简体" w:hAnsi="Times New Roman" w:eastAsia="方正小标宋简体" w:cs="Times New Roman"/>
          <w:b/>
          <w:bCs w:val="0"/>
          <w:color w:val="000000"/>
          <w:kern w:val="2"/>
          <w:sz w:val="44"/>
          <w:szCs w:val="44"/>
          <w:lang w:val="en-US" w:eastAsia="zh-CN" w:bidi="ar-SA"/>
        </w:rPr>
        <w:t>红谷滩区人民政府关于印发</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jc w:val="center"/>
        <w:textAlignment w:val="baseline"/>
        <w:rPr>
          <w:rFonts w:hint="eastAsia" w:ascii="方正小标宋简体" w:hAnsi="Times New Roman" w:eastAsia="方正小标宋简体" w:cs="Times New Roman"/>
          <w:b/>
          <w:bCs w:val="0"/>
          <w:color w:val="000000"/>
          <w:kern w:val="2"/>
          <w:sz w:val="44"/>
          <w:szCs w:val="44"/>
          <w:lang w:val="en-US" w:eastAsia="zh-CN" w:bidi="ar-SA"/>
        </w:rPr>
      </w:pPr>
      <w:r>
        <w:rPr>
          <w:rFonts w:hint="eastAsia" w:ascii="方正小标宋简体" w:hAnsi="Times New Roman" w:eastAsia="方正小标宋简体" w:cs="Times New Roman"/>
          <w:b/>
          <w:bCs w:val="0"/>
          <w:color w:val="000000"/>
          <w:kern w:val="2"/>
          <w:sz w:val="44"/>
          <w:szCs w:val="44"/>
          <w:lang w:val="en-US" w:eastAsia="zh-CN" w:bidi="ar-SA"/>
        </w:rPr>
        <w:t>《南昌市红谷滩区生态文明建设示范区</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jc w:val="center"/>
        <w:textAlignment w:val="baseline"/>
        <w:rPr>
          <w:rFonts w:hint="eastAsia" w:ascii="方正小标宋简体" w:hAnsi="Times New Roman" w:eastAsia="方正小标宋简体" w:cs="Times New Roman"/>
          <w:b/>
          <w:bCs w:val="0"/>
          <w:color w:val="000000"/>
          <w:kern w:val="2"/>
          <w:sz w:val="44"/>
          <w:szCs w:val="44"/>
          <w:lang w:val="en-US" w:eastAsia="zh-CN" w:bidi="ar-SA"/>
        </w:rPr>
      </w:pPr>
      <w:r>
        <w:rPr>
          <w:rFonts w:hint="eastAsia" w:ascii="方正小标宋简体" w:hAnsi="Times New Roman" w:eastAsia="方正小标宋简体" w:cs="Times New Roman"/>
          <w:b/>
          <w:bCs w:val="0"/>
          <w:color w:val="000000"/>
          <w:kern w:val="2"/>
          <w:sz w:val="44"/>
          <w:szCs w:val="44"/>
          <w:lang w:val="en-US" w:eastAsia="zh-CN" w:bidi="ar-SA"/>
        </w:rPr>
        <w:t>规划（2023-2030年）》的通知</w:t>
      </w: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_GB2312" w:hAnsi="仿宋" w:eastAsia="仿宋_GB2312"/>
          <w:kern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各乡镇、街</w:t>
      </w:r>
      <w:r>
        <w:rPr>
          <w:rFonts w:hint="eastAsia" w:ascii="仿宋_GB2312" w:hAnsi="仿宋_GB2312" w:eastAsia="仿宋_GB2312" w:cs="仿宋_GB2312"/>
          <w:kern w:val="0"/>
          <w:sz w:val="32"/>
          <w:szCs w:val="32"/>
          <w:lang w:val="en-US" w:eastAsia="zh-CN"/>
        </w:rPr>
        <w:t>办</w:t>
      </w:r>
      <w:r>
        <w:rPr>
          <w:rFonts w:hint="eastAsia" w:ascii="仿宋_GB2312" w:hAnsi="仿宋_GB2312" w:eastAsia="仿宋_GB2312" w:cs="仿宋_GB2312"/>
          <w:kern w:val="0"/>
          <w:sz w:val="32"/>
          <w:szCs w:val="32"/>
          <w:lang w:eastAsia="zh-CN"/>
        </w:rPr>
        <w:t>，区委相关部门，区直各单位，驻区有关单位：</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南昌市红谷滩区生态文明建设示范区规划（2023-2030年）</w:t>
      </w:r>
      <w:r>
        <w:rPr>
          <w:rFonts w:hint="eastAsia" w:ascii="仿宋_GB2312" w:hAnsi="仿宋_GB2312" w:eastAsia="仿宋_GB2312" w:cs="仿宋_GB2312"/>
          <w:kern w:val="0"/>
          <w:sz w:val="32"/>
          <w:szCs w:val="32"/>
          <w:lang w:eastAsia="zh-CN"/>
        </w:rPr>
        <w:t>》已经区政府</w:t>
      </w:r>
      <w:r>
        <w:rPr>
          <w:rFonts w:hint="eastAsia" w:ascii="仿宋_GB2312" w:hAnsi="仿宋_GB2312" w:eastAsia="仿宋_GB2312" w:cs="仿宋_GB2312"/>
          <w:kern w:val="0"/>
          <w:sz w:val="32"/>
          <w:szCs w:val="32"/>
          <w:lang w:val="en-US" w:eastAsia="zh-CN"/>
        </w:rPr>
        <w:t>2024年第2次常务会议审议通过</w:t>
      </w:r>
      <w:r>
        <w:rPr>
          <w:rFonts w:hint="eastAsia" w:ascii="仿宋_GB2312" w:hAnsi="仿宋_GB2312" w:eastAsia="仿宋_GB2312" w:cs="仿宋_GB2312"/>
          <w:kern w:val="0"/>
          <w:sz w:val="32"/>
          <w:szCs w:val="32"/>
          <w:lang w:eastAsia="zh-CN"/>
        </w:rPr>
        <w:t>，现印发给你们，请认真遵照执行。</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600" w:lineRule="exact"/>
        <w:ind w:firstLine="4480" w:firstLineChars="14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2024年2月10日</w:t>
      </w:r>
    </w:p>
    <w:p>
      <w:pPr>
        <w:pStyle w:val="13"/>
        <w:rPr>
          <w:rFonts w:hint="eastAsia" w:ascii="仿宋_GB2312" w:hAnsi="仿宋_GB2312" w:eastAsia="仿宋_GB2312" w:cs="仿宋_GB2312"/>
          <w:b w:val="0"/>
          <w:bCs/>
          <w:kern w:val="0"/>
          <w:sz w:val="32"/>
          <w:szCs w:val="32"/>
          <w:lang w:val="en-US" w:eastAsia="zh-CN" w:bidi="ar-SA"/>
        </w:rPr>
      </w:pPr>
    </w:p>
    <w:p>
      <w:pPr>
        <w:pStyle w:val="13"/>
        <w:ind w:left="0" w:leftChars="0" w:firstLine="0" w:firstLineChars="0"/>
        <w:rPr>
          <w:rFonts w:hint="eastAsia" w:ascii="仿宋_GB2312" w:hAnsi="仿宋_GB2312" w:eastAsia="仿宋_GB2312" w:cs="仿宋_GB2312"/>
          <w:b w:val="0"/>
          <w:bCs/>
          <w:kern w:val="0"/>
          <w:sz w:val="32"/>
          <w:szCs w:val="32"/>
          <w:lang w:val="en-US" w:eastAsia="zh-CN" w:bidi="ar-SA"/>
        </w:rPr>
      </w:pPr>
    </w:p>
    <w:p>
      <w:pPr>
        <w:pStyle w:val="13"/>
        <w:ind w:left="0" w:leftChars="0" w:firstLine="0" w:firstLineChars="0"/>
        <w:rPr>
          <w:rFonts w:hint="eastAsia" w:ascii="仿宋_GB2312" w:hAnsi="仿宋_GB2312" w:eastAsia="仿宋_GB2312" w:cs="仿宋_GB2312"/>
          <w:b w:val="0"/>
          <w:bCs/>
          <w:kern w:val="0"/>
          <w:sz w:val="32"/>
          <w:szCs w:val="32"/>
          <w:lang w:val="en-US" w:eastAsia="zh-CN" w:bidi="ar-SA"/>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b w:val="0"/>
          <w:bCs/>
          <w:kern w:val="0"/>
          <w:sz w:val="32"/>
          <w:szCs w:val="32"/>
          <w:lang w:val="en-US" w:eastAsia="zh-CN" w:bidi="ar-SA"/>
        </w:rPr>
        <w:t>（此件主动公开）</w:t>
      </w:r>
    </w:p>
    <w:p>
      <w:pPr>
        <w:spacing w:line="600" w:lineRule="exact"/>
        <w:jc w:val="center"/>
        <w:rPr>
          <w:rFonts w:hint="eastAsia" w:ascii="方正小标宋简体" w:hAnsi="方正小标宋简体" w:eastAsia="方正小标宋简体" w:cs="方正小标宋简体"/>
          <w:b w:val="0"/>
          <w:bCs w:val="0"/>
          <w:color w:val="auto"/>
          <w:sz w:val="44"/>
          <w:szCs w:val="44"/>
          <w:lang w:val="en-US" w:eastAsia="zh-CN"/>
        </w:rPr>
      </w:pPr>
    </w:p>
    <w:p>
      <w:pPr>
        <w:spacing w:line="600" w:lineRule="exact"/>
        <w:jc w:val="center"/>
        <w:rPr>
          <w:rFonts w:hint="eastAsia" w:ascii="方正小标宋简体" w:eastAsia="方正小标宋简体"/>
          <w:sz w:val="44"/>
          <w:szCs w:val="44"/>
        </w:rPr>
      </w:pPr>
      <w:r>
        <w:rPr>
          <w:rFonts w:hint="eastAsia" w:ascii="方正小标宋简体" w:hAnsi="方正小标宋简体" w:eastAsia="方正小标宋简体" w:cs="方正小标宋简体"/>
          <w:b w:val="0"/>
          <w:bCs w:val="0"/>
          <w:color w:val="auto"/>
          <w:sz w:val="44"/>
          <w:szCs w:val="44"/>
          <w:lang w:val="en-US" w:eastAsia="zh-CN"/>
        </w:rPr>
        <w:t>南昌市红谷滩区生态文明建设示范区规划（2023-2030年）</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720" w:lineRule="auto"/>
        <w:ind w:leftChars="0"/>
        <w:jc w:val="center"/>
        <w:textAlignment w:val="auto"/>
        <w:outlineLvl w:val="0"/>
        <w:rPr>
          <w:rFonts w:hint="eastAsia" w:ascii="黑体" w:hAnsi="黑体" w:eastAsia="黑体" w:cs="黑体"/>
          <w:color w:val="auto"/>
          <w:lang w:val="en-US" w:eastAsia="zh-CN"/>
        </w:rPr>
      </w:pPr>
      <w:bookmarkStart w:id="0" w:name="_Toc5815"/>
      <w:bookmarkStart w:id="1" w:name="_Toc11007"/>
      <w:bookmarkStart w:id="2" w:name="_Toc10325"/>
      <w:bookmarkStart w:id="3" w:name="_Toc15064"/>
      <w:r>
        <w:rPr>
          <w:rFonts w:hint="eastAsia" w:ascii="黑体" w:hAnsi="黑体" w:eastAsia="黑体" w:cs="黑体"/>
          <w:color w:val="auto"/>
          <w:lang w:val="en-US" w:eastAsia="zh-CN"/>
        </w:rPr>
        <w:t>前 言</w:t>
      </w:r>
      <w:bookmarkEnd w:id="0"/>
      <w:bookmarkEnd w:id="1"/>
      <w:bookmarkEnd w:id="2"/>
      <w:bookmarkEnd w:id="3"/>
    </w:p>
    <w:p>
      <w:pPr>
        <w:pStyle w:val="18"/>
        <w:bidi w:val="0"/>
        <w:rPr>
          <w:rFonts w:hint="default"/>
          <w:color w:val="auto"/>
          <w:lang w:val="en-US" w:eastAsia="zh-CN"/>
        </w:rPr>
      </w:pPr>
      <w:r>
        <w:rPr>
          <w:color w:val="auto"/>
          <w:lang w:val="en-US" w:eastAsia="zh-CN"/>
        </w:rPr>
        <w:t>大自然是人类赖以生存发展的基本条件。尊重自然、顺应自然、保护自然，是全面建设社会主义现代化国家的内在要求。</w:t>
      </w:r>
      <w:r>
        <w:rPr>
          <w:rFonts w:hint="eastAsia"/>
          <w:color w:val="auto"/>
          <w:lang w:val="en-US" w:eastAsia="zh-CN"/>
        </w:rPr>
        <w:t>党的二十大报告提出，必须牢固树立和践行“绿水青山就是金山银山”的理念，站在人与自然和谐共生的高度谋划发展。推动绿色发展，促进人与自然和谐共生，建设美丽中国，坚持山水林田湖草沙一体化保护和系统治理，统筹产业结构调整、污染治理、生态保护、应对气候变化，协同推进降碳、减污、扩绿、增长，推进生态优先、节约集约、绿色低碳发展。《中华人民共和国国民经济和社会发展第十四个五年规划和2035年远景目标纲要》中提出了“生态文明建设实现新进步”的宏伟目标。《江西省国民经济和社会发展第十四个五年规划和二〇三五年远景目标纲要》提出“高标准打造美丽中国‘江西样板’”，</w:t>
      </w:r>
      <w:r>
        <w:rPr>
          <w:color w:val="auto"/>
        </w:rPr>
        <w:t>筑牢绿色屏障</w:t>
      </w:r>
      <w:r>
        <w:rPr>
          <w:rFonts w:hint="eastAsia"/>
          <w:color w:val="auto"/>
          <w:lang w:eastAsia="zh-CN"/>
        </w:rPr>
        <w:t>，</w:t>
      </w:r>
      <w:r>
        <w:rPr>
          <w:color w:val="auto"/>
        </w:rPr>
        <w:t>强化环境治理保护</w:t>
      </w:r>
      <w:r>
        <w:rPr>
          <w:rFonts w:hint="eastAsia"/>
          <w:color w:val="auto"/>
          <w:lang w:eastAsia="zh-CN"/>
        </w:rPr>
        <w:t>，</w:t>
      </w:r>
      <w:r>
        <w:rPr>
          <w:color w:val="auto"/>
        </w:rPr>
        <w:t>加快生态优势转化</w:t>
      </w:r>
      <w:r>
        <w:rPr>
          <w:rFonts w:hint="eastAsia"/>
          <w:color w:val="auto"/>
          <w:lang w:eastAsia="zh-CN"/>
        </w:rPr>
        <w:t>，</w:t>
      </w:r>
      <w:r>
        <w:rPr>
          <w:color w:val="auto"/>
        </w:rPr>
        <w:t>繁荣绿色文化</w:t>
      </w:r>
      <w:r>
        <w:rPr>
          <w:rFonts w:hint="eastAsia"/>
          <w:color w:val="auto"/>
          <w:lang w:eastAsia="zh-CN"/>
        </w:rPr>
        <w:t>。《</w:t>
      </w:r>
      <w:r>
        <w:rPr>
          <w:rFonts w:hint="eastAsia"/>
          <w:color w:val="auto"/>
          <w:lang w:val="en-US" w:eastAsia="zh-CN"/>
        </w:rPr>
        <w:t>南昌市</w:t>
      </w:r>
      <w:r>
        <w:rPr>
          <w:rFonts w:hint="eastAsia"/>
          <w:color w:val="auto"/>
          <w:lang w:eastAsia="zh-CN"/>
        </w:rPr>
        <w:t>国民经济和社会发展第十四个五年规划和二〇三五年远景目标纲要》</w:t>
      </w:r>
      <w:r>
        <w:rPr>
          <w:rFonts w:hint="eastAsia"/>
          <w:color w:val="auto"/>
          <w:lang w:val="en-US" w:eastAsia="zh-CN"/>
        </w:rPr>
        <w:t>提出“加快推动绿色崛起，促进人与自然和谐共生，实现生态环境‘高颜值’、经济发展‘高素质’”。</w:t>
      </w:r>
      <w:r>
        <w:rPr>
          <w:rFonts w:hint="eastAsia"/>
          <w:color w:val="auto"/>
          <w:lang w:eastAsia="zh-CN"/>
        </w:rPr>
        <w:t>《红谷滩区国民经济和社会发展第十四个五年规划和二〇三五年远景目标纲要》</w:t>
      </w:r>
      <w:r>
        <w:rPr>
          <w:rFonts w:hint="eastAsia"/>
          <w:color w:val="auto"/>
          <w:lang w:val="en-US" w:eastAsia="zh-CN"/>
        </w:rPr>
        <w:t>提出“绿色发展，全力建设生态宜居家园”。</w:t>
      </w:r>
    </w:p>
    <w:p>
      <w:pPr>
        <w:pStyle w:val="18"/>
        <w:bidi w:val="0"/>
        <w:rPr>
          <w:rFonts w:hint="default"/>
          <w:color w:val="auto"/>
        </w:rPr>
      </w:pPr>
      <w:r>
        <w:rPr>
          <w:color w:val="auto"/>
        </w:rPr>
        <w:t>红谷滩区，隶属于江西省南昌市，</w:t>
      </w:r>
      <w:r>
        <w:rPr>
          <w:rFonts w:hint="default"/>
          <w:color w:val="auto"/>
        </w:rPr>
        <w:t>位于江西省中北部，赣江西岸  ，现为江西省委、省政府，南昌市委、市政府所在地。</w:t>
      </w:r>
      <w:r>
        <w:rPr>
          <w:rFonts w:hint="default"/>
          <w:color w:val="auto"/>
          <w:lang w:val="en-US" w:eastAsia="zh-CN"/>
        </w:rPr>
        <w:t>近年来，</w:t>
      </w:r>
      <w:r>
        <w:rPr>
          <w:rFonts w:hint="eastAsia"/>
          <w:color w:val="auto"/>
          <w:lang w:val="en-US" w:eastAsia="zh-CN"/>
        </w:rPr>
        <w:t>红谷滩区</w:t>
      </w:r>
      <w:r>
        <w:rPr>
          <w:rFonts w:hint="default"/>
          <w:color w:val="auto"/>
          <w:lang w:val="en-US" w:eastAsia="zh-CN"/>
        </w:rPr>
        <w:t>始终把生态文明建设和生态环境保护工作摆在事关全局的重要位置来抓，坚定</w:t>
      </w:r>
      <w:r>
        <w:rPr>
          <w:rFonts w:hint="eastAsia"/>
          <w:color w:val="auto"/>
          <w:lang w:val="en-US" w:eastAsia="zh-CN"/>
        </w:rPr>
        <w:t>不移</w:t>
      </w:r>
      <w:r>
        <w:rPr>
          <w:rFonts w:hint="default"/>
          <w:color w:val="auto"/>
          <w:lang w:val="en-US" w:eastAsia="zh-CN"/>
        </w:rPr>
        <w:t>走生态优先、绿色发展之路，全力打好污染防治攻坚战，环境质量持续改善</w:t>
      </w:r>
      <w:r>
        <w:rPr>
          <w:rFonts w:hint="eastAsia"/>
          <w:color w:val="auto"/>
          <w:lang w:val="en-US" w:eastAsia="zh-CN"/>
        </w:rPr>
        <w:t>，已完成33个市级生态村、两批次共35个省级绿色社区的创建，省级生态乡镇比例100%</w:t>
      </w:r>
      <w:r>
        <w:rPr>
          <w:rFonts w:hint="default"/>
          <w:color w:val="auto"/>
          <w:lang w:val="en-US" w:eastAsia="zh-CN"/>
        </w:rPr>
        <w:t>。</w:t>
      </w:r>
    </w:p>
    <w:p>
      <w:pPr>
        <w:pStyle w:val="18"/>
        <w:bidi w:val="0"/>
        <w:rPr>
          <w:rFonts w:hint="eastAsia"/>
          <w:color w:val="auto"/>
          <w:highlight w:val="none"/>
          <w:lang w:val="en-US" w:eastAsia="zh-CN"/>
        </w:rPr>
      </w:pPr>
      <w:r>
        <w:rPr>
          <w:rFonts w:hint="eastAsia"/>
          <w:color w:val="auto"/>
          <w:highlight w:val="none"/>
        </w:rPr>
        <w:t>按照《江西省省级生态市县管理规程》《江西省省级生态市县建设指标》《江西省省级生态市县规划编制指南》</w:t>
      </w:r>
      <w:r>
        <w:rPr>
          <w:rFonts w:hint="eastAsia"/>
          <w:color w:val="auto"/>
          <w:highlight w:val="none"/>
          <w:lang w:eastAsia="zh-CN"/>
        </w:rPr>
        <w:t>，</w:t>
      </w:r>
      <w:r>
        <w:rPr>
          <w:rFonts w:hint="eastAsia"/>
          <w:color w:val="auto"/>
          <w:highlight w:val="none"/>
          <w:lang w:val="en-US" w:eastAsia="zh-CN"/>
        </w:rPr>
        <w:t>结合</w:t>
      </w:r>
      <w:r>
        <w:rPr>
          <w:rFonts w:hint="eastAsia"/>
          <w:color w:val="auto"/>
          <w:highlight w:val="none"/>
        </w:rPr>
        <w:t>《国家生态文明建设示范区管理规程》《国家生态文明建设示范区建设指标》</w:t>
      </w:r>
      <w:r>
        <w:rPr>
          <w:rFonts w:hint="eastAsia"/>
          <w:color w:val="auto"/>
          <w:highlight w:val="none"/>
          <w:lang w:eastAsia="zh-CN"/>
        </w:rPr>
        <w:t>（修订版）</w:t>
      </w:r>
      <w:r>
        <w:rPr>
          <w:rFonts w:hint="eastAsia"/>
          <w:color w:val="auto"/>
          <w:highlight w:val="none"/>
          <w:lang w:val="en-US" w:eastAsia="zh-CN"/>
        </w:rPr>
        <w:t>中要求，以及《江西省生态环境保护“十四五”规划》《南昌市生态环境保护“十四五”规划》《红谷滩区国民经济和社会发展第十四个五年规划和二〇三五年远景目标纲要》等“十四五”最新精神要求，编制完成《南昌市红谷滩区生态文明建设示范区规划（2023-2030年）》（以下简称《规划》），《规划》以习近平生态文明思想为指导，深入打好污染防治攻坚战八大战役，大力推进生态文明建设和生态环境保护，维护区域生态环境安全、改善和保障民生、促进资源节约型和环境友好型社会建设。</w:t>
      </w:r>
    </w:p>
    <w:p>
      <w:pPr>
        <w:pStyle w:val="18"/>
        <w:bidi w:val="0"/>
        <w:rPr>
          <w:rFonts w:hint="eastAsia"/>
          <w:color w:val="auto"/>
          <w:highlight w:val="none"/>
          <w:lang w:val="en-US" w:eastAsia="zh-CN"/>
        </w:rPr>
      </w:pPr>
      <w:r>
        <w:rPr>
          <w:rFonts w:hint="eastAsia"/>
          <w:color w:val="auto"/>
          <w:highlight w:val="none"/>
          <w:lang w:val="en-US" w:eastAsia="zh-CN"/>
        </w:rPr>
        <w:t>本规划编制范围为江西省南昌市红谷滩区，辖7街道1乡1镇，即沙井街道、凤凰洲街道、卫东街道、红角洲街道、九龙湖街道、生米街道、龙兴街道、厚田乡、流湖镇，规划总面积约398.01平方公里。规划基准年为2022年，规划期限为2023-2030年。</w:t>
      </w:r>
    </w:p>
    <w:p>
      <w:pPr>
        <w:pStyle w:val="18"/>
        <w:bidi w:val="0"/>
        <w:rPr>
          <w:rFonts w:hint="eastAsia"/>
          <w:color w:val="auto"/>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720" w:lineRule="auto"/>
        <w:ind w:leftChars="0"/>
        <w:jc w:val="center"/>
        <w:textAlignment w:val="auto"/>
        <w:outlineLvl w:val="9"/>
        <w:rPr>
          <w:rFonts w:hint="default" w:ascii="仿宋" w:hAnsi="仿宋" w:eastAsia="仿宋" w:cs="仿宋"/>
          <w:color w:val="auto"/>
          <w:lang w:val="en-US" w:eastAsia="zh-CN"/>
        </w:rPr>
      </w:pPr>
      <w:bookmarkStart w:id="4" w:name="_Toc13023"/>
      <w:bookmarkStart w:id="5" w:name="_Toc4280"/>
      <w:bookmarkStart w:id="6" w:name="_Toc18361"/>
      <w:bookmarkStart w:id="7" w:name="_Toc29291"/>
      <w:bookmarkStart w:id="8" w:name="_Toc16667"/>
      <w:bookmarkStart w:id="9" w:name="_Toc23872"/>
      <w:bookmarkStart w:id="10" w:name="_Toc21717"/>
      <w:bookmarkStart w:id="11" w:name="_Toc30127"/>
      <w:r>
        <w:rPr>
          <w:rFonts w:hint="eastAsia" w:ascii="仿宋" w:hAnsi="仿宋" w:eastAsia="仿宋" w:cs="仿宋"/>
          <w:color w:val="auto"/>
          <w:lang w:val="en-US" w:eastAsia="zh-CN"/>
        </w:rPr>
        <w:t>目 录</w:t>
      </w:r>
      <w:bookmarkEnd w:id="4"/>
      <w:bookmarkEnd w:id="5"/>
      <w:bookmarkEnd w:id="6"/>
      <w:bookmarkEnd w:id="7"/>
      <w:bookmarkEnd w:id="8"/>
      <w:bookmarkEnd w:id="9"/>
      <w:bookmarkEnd w:id="10"/>
      <w:bookmarkEnd w:id="11"/>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r>
        <w:rPr>
          <w:rFonts w:hint="eastAsia"/>
          <w:color w:val="auto"/>
          <w:lang w:val="en-US" w:eastAsia="zh-CN"/>
        </w:rPr>
        <w:fldChar w:fldCharType="begin"/>
      </w:r>
      <w:r>
        <w:rPr>
          <w:rFonts w:hint="eastAsia"/>
          <w:color w:val="auto"/>
          <w:lang w:val="en-US" w:eastAsia="zh-CN"/>
        </w:rPr>
        <w:instrText xml:space="preserve">TOC \o "1-3" \h \u </w:instrText>
      </w:r>
      <w:r>
        <w:rPr>
          <w:rFonts w:hint="eastAsia"/>
          <w:color w:val="auto"/>
          <w:lang w:val="en-US" w:eastAsia="zh-CN"/>
        </w:rPr>
        <w:fldChar w:fldCharType="separate"/>
      </w:r>
      <w:r>
        <w:rPr>
          <w:rFonts w:hint="eastAsia" w:ascii="黑体" w:hAnsi="黑体" w:eastAsia="黑体" w:cs="黑体"/>
          <w:color w:val="auto"/>
          <w:sz w:val="24"/>
          <w:szCs w:val="24"/>
          <w:lang w:val="en-US" w:eastAsia="zh-CN"/>
        </w:rPr>
        <w:fldChar w:fldCharType="begin"/>
      </w:r>
      <w:r>
        <w:rPr>
          <w:rFonts w:hint="eastAsia" w:ascii="黑体" w:hAnsi="黑体" w:eastAsia="黑体" w:cs="黑体"/>
          <w:color w:val="auto"/>
          <w:sz w:val="24"/>
          <w:szCs w:val="24"/>
          <w:lang w:val="en-US" w:eastAsia="zh-CN"/>
        </w:rPr>
        <w:instrText xml:space="preserve">TOC \o "1-3" \h \u </w:instrText>
      </w:r>
      <w:r>
        <w:rPr>
          <w:rFonts w:hint="eastAsia" w:ascii="黑体" w:hAnsi="黑体" w:eastAsia="黑体" w:cs="黑体"/>
          <w:color w:val="auto"/>
          <w:sz w:val="24"/>
          <w:szCs w:val="24"/>
          <w:lang w:val="en-US" w:eastAsia="zh-CN"/>
        </w:rPr>
        <w:fldChar w:fldCharType="separate"/>
      </w: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_Toc18295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前 言</w:t>
      </w:r>
      <w:r>
        <w:rPr>
          <w:rFonts w:hint="eastAsia" w:ascii="黑体" w:hAnsi="黑体" w:eastAsia="黑体" w:cs="黑体"/>
          <w:color w:val="auto"/>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_Toc12906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第一章 形势与基础</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_Toc16015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（一）面</w:t>
      </w:r>
      <w:r>
        <w:rPr>
          <w:rFonts w:hint="eastAsia" w:ascii="黑体" w:hAnsi="黑体" w:eastAsia="黑体" w:cs="黑体"/>
          <w:sz w:val="24"/>
          <w:szCs w:val="24"/>
        </w:rPr>
        <w:t>临</w:t>
      </w:r>
      <w:r>
        <w:rPr>
          <w:rFonts w:hint="eastAsia" w:ascii="黑体" w:hAnsi="黑体" w:eastAsia="黑体" w:cs="黑体"/>
          <w:sz w:val="24"/>
          <w:szCs w:val="24"/>
          <w:lang w:val="en-US" w:eastAsia="zh-CN"/>
        </w:rPr>
        <w:t>形势</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_Toc11902 </w:instrText>
      </w:r>
      <w:r>
        <w:rPr>
          <w:rFonts w:hint="eastAsia" w:ascii="黑体" w:hAnsi="黑体" w:eastAsia="黑体" w:cs="黑体"/>
          <w:sz w:val="24"/>
          <w:szCs w:val="24"/>
          <w:lang w:val="en-US" w:eastAsia="zh-CN"/>
        </w:rPr>
        <w:fldChar w:fldCharType="separate"/>
      </w:r>
      <w:r>
        <w:rPr>
          <w:rFonts w:hint="eastAsia" w:ascii="黑体" w:hAnsi="黑体" w:eastAsia="黑体" w:cs="黑体"/>
          <w:bCs/>
          <w:sz w:val="24"/>
          <w:szCs w:val="24"/>
        </w:rPr>
        <w:t>1. 规划背景</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_Toc6537 </w:instrText>
      </w:r>
      <w:r>
        <w:rPr>
          <w:rFonts w:hint="eastAsia" w:ascii="黑体" w:hAnsi="黑体" w:eastAsia="黑体" w:cs="黑体"/>
          <w:sz w:val="24"/>
          <w:szCs w:val="24"/>
          <w:lang w:val="en-US" w:eastAsia="zh-CN"/>
        </w:rPr>
        <w:fldChar w:fldCharType="separate"/>
      </w:r>
      <w:r>
        <w:rPr>
          <w:rFonts w:hint="eastAsia" w:ascii="黑体" w:hAnsi="黑体" w:eastAsia="黑体" w:cs="黑体"/>
          <w:bCs/>
          <w:sz w:val="24"/>
          <w:szCs w:val="24"/>
        </w:rPr>
        <w:t>2. 重大意义</w:t>
      </w:r>
      <w:r>
        <w:rPr>
          <w:rFonts w:hint="eastAsia" w:ascii="黑体" w:hAnsi="黑体" w:eastAsia="黑体" w:cs="黑体"/>
          <w:sz w:val="24"/>
          <w:szCs w:val="24"/>
        </w:rPr>
        <w:tab/>
      </w:r>
      <w:r>
        <w:rPr>
          <w:rFonts w:hint="eastAsia" w:ascii="黑体" w:hAnsi="黑体" w:eastAsia="黑体" w:cs="黑体"/>
          <w:sz w:val="24"/>
          <w:szCs w:val="24"/>
          <w:lang w:val="en-US" w:eastAsia="zh-CN"/>
        </w:rPr>
        <w:t>4</w:t>
      </w:r>
      <w:r>
        <w:rPr>
          <w:rFonts w:hint="eastAsia" w:ascii="黑体" w:hAnsi="黑体" w:eastAsia="黑体" w:cs="黑体"/>
          <w:color w:val="auto"/>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_Toc17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（二）工作基础</w:t>
      </w:r>
      <w:r>
        <w:rPr>
          <w:rFonts w:hint="eastAsia" w:ascii="黑体" w:hAnsi="黑体" w:eastAsia="黑体" w:cs="黑体"/>
          <w:sz w:val="24"/>
          <w:szCs w:val="24"/>
        </w:rPr>
        <w:tab/>
      </w:r>
      <w:r>
        <w:rPr>
          <w:rFonts w:hint="eastAsia" w:ascii="黑体" w:hAnsi="黑体" w:eastAsia="黑体" w:cs="黑体"/>
          <w:sz w:val="24"/>
          <w:szCs w:val="24"/>
          <w:lang w:val="en-US" w:eastAsia="zh-CN"/>
        </w:rPr>
        <w:t>5</w:t>
      </w:r>
      <w:r>
        <w:rPr>
          <w:rFonts w:hint="eastAsia" w:ascii="黑体" w:hAnsi="黑体" w:eastAsia="黑体" w:cs="黑体"/>
          <w:color w:val="auto"/>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_Toc3314 </w:instrText>
      </w:r>
      <w:r>
        <w:rPr>
          <w:rFonts w:hint="eastAsia" w:ascii="黑体" w:hAnsi="黑体" w:eastAsia="黑体" w:cs="黑体"/>
          <w:sz w:val="24"/>
          <w:szCs w:val="24"/>
          <w:lang w:val="en-US" w:eastAsia="zh-CN"/>
        </w:rPr>
        <w:fldChar w:fldCharType="separate"/>
      </w:r>
      <w:r>
        <w:rPr>
          <w:rFonts w:hint="eastAsia" w:ascii="黑体" w:hAnsi="黑体" w:eastAsia="黑体" w:cs="黑体"/>
          <w:bCs/>
          <w:sz w:val="24"/>
          <w:szCs w:val="24"/>
          <w:lang w:eastAsia="zh-CN"/>
        </w:rPr>
        <w:t>1. 地理区位条件优越，旅游资源丰厚</w:t>
      </w:r>
      <w:r>
        <w:rPr>
          <w:rFonts w:hint="eastAsia" w:ascii="黑体" w:hAnsi="黑体" w:eastAsia="黑体" w:cs="黑体"/>
          <w:sz w:val="24"/>
          <w:szCs w:val="24"/>
        </w:rPr>
        <w:tab/>
      </w:r>
      <w:r>
        <w:rPr>
          <w:rFonts w:hint="eastAsia" w:ascii="黑体" w:hAnsi="黑体" w:eastAsia="黑体" w:cs="黑体"/>
          <w:sz w:val="24"/>
          <w:szCs w:val="24"/>
          <w:lang w:val="en-US" w:eastAsia="zh-CN"/>
        </w:rPr>
        <w:t>5</w:t>
      </w:r>
      <w:r>
        <w:rPr>
          <w:rFonts w:hint="eastAsia" w:ascii="黑体" w:hAnsi="黑体" w:eastAsia="黑体" w:cs="黑体"/>
          <w:color w:val="auto"/>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_Toc16016 </w:instrText>
      </w:r>
      <w:r>
        <w:rPr>
          <w:rFonts w:hint="eastAsia" w:ascii="黑体" w:hAnsi="黑体" w:eastAsia="黑体" w:cs="黑体"/>
          <w:sz w:val="24"/>
          <w:szCs w:val="24"/>
          <w:lang w:val="en-US" w:eastAsia="zh-CN"/>
        </w:rPr>
        <w:fldChar w:fldCharType="separate"/>
      </w:r>
      <w:r>
        <w:rPr>
          <w:rFonts w:hint="eastAsia" w:ascii="黑体" w:hAnsi="黑体" w:eastAsia="黑体" w:cs="黑体"/>
          <w:bCs/>
          <w:sz w:val="24"/>
          <w:szCs w:val="24"/>
        </w:rPr>
        <w:t xml:space="preserve">2. </w:t>
      </w:r>
      <w:r>
        <w:rPr>
          <w:rFonts w:hint="eastAsia" w:ascii="黑体" w:hAnsi="黑体" w:eastAsia="黑体" w:cs="黑体"/>
          <w:bCs/>
          <w:sz w:val="24"/>
          <w:szCs w:val="24"/>
          <w:lang w:eastAsia="zh-CN"/>
        </w:rPr>
        <w:t>聚焦体制机制改革，生态制度体系不断健全</w:t>
      </w:r>
      <w:r>
        <w:rPr>
          <w:rFonts w:hint="eastAsia" w:ascii="黑体" w:hAnsi="黑体" w:eastAsia="黑体" w:cs="黑体"/>
          <w:sz w:val="24"/>
          <w:szCs w:val="24"/>
        </w:rPr>
        <w:tab/>
      </w:r>
      <w:r>
        <w:rPr>
          <w:rFonts w:hint="eastAsia" w:ascii="黑体" w:hAnsi="黑体" w:eastAsia="黑体" w:cs="黑体"/>
          <w:sz w:val="24"/>
          <w:szCs w:val="24"/>
          <w:lang w:val="en-US" w:eastAsia="zh-CN"/>
        </w:rPr>
        <w:t>6</w:t>
      </w:r>
      <w:r>
        <w:rPr>
          <w:rFonts w:hint="eastAsia" w:ascii="黑体" w:hAnsi="黑体" w:eastAsia="黑体" w:cs="黑体"/>
          <w:color w:val="auto"/>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_Toc5094 </w:instrText>
      </w:r>
      <w:r>
        <w:rPr>
          <w:rFonts w:hint="eastAsia" w:ascii="黑体" w:hAnsi="黑体" w:eastAsia="黑体" w:cs="黑体"/>
          <w:sz w:val="24"/>
          <w:szCs w:val="24"/>
          <w:lang w:val="en-US" w:eastAsia="zh-CN"/>
        </w:rPr>
        <w:fldChar w:fldCharType="separate"/>
      </w:r>
      <w:r>
        <w:rPr>
          <w:rFonts w:hint="eastAsia" w:ascii="黑体" w:hAnsi="黑体" w:eastAsia="黑体" w:cs="黑体"/>
          <w:bCs/>
          <w:sz w:val="24"/>
          <w:szCs w:val="24"/>
          <w:lang w:eastAsia="zh-CN"/>
        </w:rPr>
        <w:t>3. 推进治理水平现代化，生态环境质量稳步改善</w:t>
      </w:r>
      <w:r>
        <w:rPr>
          <w:rFonts w:hint="eastAsia" w:ascii="黑体" w:hAnsi="黑体" w:eastAsia="黑体" w:cs="黑体"/>
          <w:sz w:val="24"/>
          <w:szCs w:val="24"/>
        </w:rPr>
        <w:tab/>
      </w:r>
      <w:r>
        <w:rPr>
          <w:rFonts w:hint="eastAsia" w:ascii="黑体" w:hAnsi="黑体" w:eastAsia="黑体" w:cs="黑体"/>
          <w:sz w:val="24"/>
          <w:szCs w:val="24"/>
          <w:lang w:val="en-US" w:eastAsia="zh-CN"/>
        </w:rPr>
        <w:t>8</w:t>
      </w:r>
      <w:r>
        <w:rPr>
          <w:rFonts w:hint="eastAsia" w:ascii="黑体" w:hAnsi="黑体" w:eastAsia="黑体" w:cs="黑体"/>
          <w:color w:val="auto"/>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_Toc15491 </w:instrText>
      </w:r>
      <w:r>
        <w:rPr>
          <w:rFonts w:hint="eastAsia" w:ascii="黑体" w:hAnsi="黑体" w:eastAsia="黑体" w:cs="黑体"/>
          <w:sz w:val="24"/>
          <w:szCs w:val="24"/>
          <w:lang w:val="en-US" w:eastAsia="zh-CN"/>
        </w:rPr>
        <w:fldChar w:fldCharType="separate"/>
      </w:r>
      <w:r>
        <w:rPr>
          <w:rFonts w:hint="eastAsia" w:ascii="黑体" w:hAnsi="黑体" w:eastAsia="黑体" w:cs="黑体"/>
          <w:bCs/>
          <w:sz w:val="24"/>
          <w:szCs w:val="24"/>
          <w:lang w:eastAsia="zh-CN"/>
        </w:rPr>
        <w:t>4. 走低碳绿色发展之路，构建生态经济发展模式</w:t>
      </w:r>
      <w:r>
        <w:rPr>
          <w:rFonts w:hint="eastAsia" w:ascii="黑体" w:hAnsi="黑体" w:eastAsia="黑体" w:cs="黑体"/>
          <w:sz w:val="24"/>
          <w:szCs w:val="24"/>
        </w:rPr>
        <w:tab/>
      </w:r>
      <w:r>
        <w:rPr>
          <w:rFonts w:hint="eastAsia" w:ascii="黑体" w:hAnsi="黑体" w:eastAsia="黑体" w:cs="黑体"/>
          <w:sz w:val="24"/>
          <w:szCs w:val="24"/>
          <w:lang w:val="en-US" w:eastAsia="zh-CN"/>
        </w:rPr>
        <w:t>9</w:t>
      </w:r>
      <w:r>
        <w:rPr>
          <w:rFonts w:hint="eastAsia" w:ascii="黑体" w:hAnsi="黑体" w:eastAsia="黑体" w:cs="黑体"/>
          <w:color w:val="auto"/>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_Toc21310 </w:instrText>
      </w:r>
      <w:r>
        <w:rPr>
          <w:rFonts w:hint="eastAsia" w:ascii="黑体" w:hAnsi="黑体" w:eastAsia="黑体" w:cs="黑体"/>
          <w:sz w:val="24"/>
          <w:szCs w:val="24"/>
          <w:lang w:val="en-US" w:eastAsia="zh-CN"/>
        </w:rPr>
        <w:fldChar w:fldCharType="separate"/>
      </w:r>
      <w:r>
        <w:rPr>
          <w:rFonts w:hint="eastAsia" w:ascii="黑体" w:hAnsi="黑体" w:eastAsia="黑体" w:cs="黑体"/>
          <w:bCs/>
          <w:sz w:val="24"/>
          <w:szCs w:val="24"/>
          <w:lang w:eastAsia="zh-CN"/>
        </w:rPr>
        <w:t>5. 提升基础设施服务质量，</w:t>
      </w:r>
      <w:r>
        <w:rPr>
          <w:rFonts w:hint="eastAsia" w:ascii="黑体" w:hAnsi="黑体" w:eastAsia="黑体" w:cs="黑体"/>
          <w:bCs/>
          <w:sz w:val="24"/>
          <w:szCs w:val="24"/>
          <w:lang w:val="en-US" w:eastAsia="zh-CN"/>
        </w:rPr>
        <w:t>人居环境持续提升</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0</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_Toc32266 </w:instrText>
      </w:r>
      <w:r>
        <w:rPr>
          <w:rFonts w:hint="eastAsia" w:ascii="黑体" w:hAnsi="黑体" w:eastAsia="黑体" w:cs="黑体"/>
          <w:sz w:val="24"/>
          <w:szCs w:val="24"/>
          <w:lang w:val="en-US" w:eastAsia="zh-CN"/>
        </w:rPr>
        <w:fldChar w:fldCharType="separate"/>
      </w:r>
      <w:r>
        <w:rPr>
          <w:rFonts w:hint="eastAsia" w:ascii="黑体" w:hAnsi="黑体" w:eastAsia="黑体" w:cs="黑体"/>
          <w:bCs/>
          <w:sz w:val="24"/>
          <w:szCs w:val="24"/>
          <w:lang w:eastAsia="zh-CN"/>
        </w:rPr>
        <w:t>6. 多举措深化社会参与，根植生态环境保护理念</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3</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_Toc3740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第二章 问题与压力</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5</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_Toc20538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（一）主要问题</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5</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_Toc32466 </w:instrText>
      </w:r>
      <w:r>
        <w:rPr>
          <w:rFonts w:hint="eastAsia" w:ascii="黑体" w:hAnsi="黑体" w:eastAsia="黑体" w:cs="黑体"/>
          <w:sz w:val="24"/>
          <w:szCs w:val="24"/>
          <w:lang w:val="en-US" w:eastAsia="zh-CN"/>
        </w:rPr>
        <w:fldChar w:fldCharType="separate"/>
      </w:r>
      <w:r>
        <w:rPr>
          <w:rFonts w:hint="eastAsia" w:ascii="黑体" w:hAnsi="黑体" w:eastAsia="黑体" w:cs="黑体"/>
          <w:bCs/>
          <w:kern w:val="0"/>
          <w:sz w:val="24"/>
          <w:szCs w:val="24"/>
          <w:lang w:val="en-US" w:eastAsia="zh-CN" w:bidi="ar"/>
        </w:rPr>
        <w:t>1. 生态文明制度建设亟待加强</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5</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_Toc28771 </w:instrText>
      </w:r>
      <w:r>
        <w:rPr>
          <w:rFonts w:hint="eastAsia" w:ascii="黑体" w:hAnsi="黑体" w:eastAsia="黑体" w:cs="黑体"/>
          <w:sz w:val="24"/>
          <w:szCs w:val="24"/>
          <w:lang w:val="en-US" w:eastAsia="zh-CN"/>
        </w:rPr>
        <w:fldChar w:fldCharType="separate"/>
      </w:r>
      <w:r>
        <w:rPr>
          <w:rFonts w:hint="eastAsia" w:ascii="黑体" w:hAnsi="黑体" w:eastAsia="黑体" w:cs="黑体"/>
          <w:bCs/>
          <w:sz w:val="24"/>
          <w:szCs w:val="24"/>
        </w:rPr>
        <w:t>2. 环境质量改善成效尚不稳固，环保治理设施存在短板</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5</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_Toc23700 </w:instrText>
      </w:r>
      <w:r>
        <w:rPr>
          <w:rFonts w:hint="eastAsia" w:ascii="黑体" w:hAnsi="黑体" w:eastAsia="黑体" w:cs="黑体"/>
          <w:sz w:val="24"/>
          <w:szCs w:val="24"/>
          <w:lang w:val="en-US" w:eastAsia="zh-CN"/>
        </w:rPr>
        <w:fldChar w:fldCharType="separate"/>
      </w:r>
      <w:r>
        <w:rPr>
          <w:rFonts w:hint="eastAsia" w:ascii="黑体" w:hAnsi="黑体" w:eastAsia="黑体" w:cs="黑体"/>
          <w:bCs/>
          <w:kern w:val="0"/>
          <w:sz w:val="24"/>
          <w:szCs w:val="24"/>
          <w:lang w:val="en-US" w:eastAsia="zh-CN" w:bidi="ar"/>
        </w:rPr>
        <w:t>3. 生态空间占比较低</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5</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_Toc27271 </w:instrText>
      </w:r>
      <w:r>
        <w:rPr>
          <w:rFonts w:hint="eastAsia" w:ascii="黑体" w:hAnsi="黑体" w:eastAsia="黑体" w:cs="黑体"/>
          <w:sz w:val="24"/>
          <w:szCs w:val="24"/>
          <w:lang w:val="en-US" w:eastAsia="zh-CN"/>
        </w:rPr>
        <w:fldChar w:fldCharType="separate"/>
      </w:r>
      <w:r>
        <w:rPr>
          <w:rFonts w:hint="eastAsia" w:ascii="黑体" w:hAnsi="黑体" w:eastAsia="黑体" w:cs="黑体"/>
          <w:bCs/>
          <w:sz w:val="24"/>
          <w:szCs w:val="24"/>
          <w:lang w:eastAsia="zh-CN"/>
        </w:rPr>
        <w:t>4. 林业资源保护管理仍需加强</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6</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_Toc18830 </w:instrText>
      </w:r>
      <w:r>
        <w:rPr>
          <w:rFonts w:hint="eastAsia" w:ascii="黑体" w:hAnsi="黑体" w:eastAsia="黑体" w:cs="黑体"/>
          <w:sz w:val="24"/>
          <w:szCs w:val="24"/>
          <w:lang w:val="en-US" w:eastAsia="zh-CN"/>
        </w:rPr>
        <w:fldChar w:fldCharType="separate"/>
      </w:r>
      <w:r>
        <w:rPr>
          <w:rFonts w:hint="eastAsia" w:ascii="黑体" w:hAnsi="黑体" w:eastAsia="黑体" w:cs="黑体"/>
          <w:bCs/>
          <w:sz w:val="24"/>
          <w:szCs w:val="24"/>
          <w:lang w:eastAsia="zh-CN"/>
        </w:rPr>
        <w:t>5. 生态文明社会氛围需进一步强化</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6</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_Toc20617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（二）面临压力</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6</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_Toc21334 </w:instrText>
      </w:r>
      <w:r>
        <w:rPr>
          <w:rFonts w:hint="eastAsia" w:ascii="黑体" w:hAnsi="黑体" w:eastAsia="黑体" w:cs="黑体"/>
          <w:sz w:val="24"/>
          <w:szCs w:val="24"/>
          <w:lang w:val="en-US" w:eastAsia="zh-CN"/>
        </w:rPr>
        <w:fldChar w:fldCharType="separate"/>
      </w:r>
      <w:r>
        <w:rPr>
          <w:rFonts w:hint="eastAsia" w:ascii="黑体" w:hAnsi="黑体" w:eastAsia="黑体" w:cs="黑体"/>
          <w:bCs/>
          <w:sz w:val="24"/>
          <w:szCs w:val="24"/>
          <w:lang w:val="en-US" w:eastAsia="zh-CN"/>
        </w:rPr>
        <w:t>1. 资源利用压力分析</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6</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_Toc14305 </w:instrText>
      </w:r>
      <w:r>
        <w:rPr>
          <w:rFonts w:hint="eastAsia" w:ascii="黑体" w:hAnsi="黑体" w:eastAsia="黑体" w:cs="黑体"/>
          <w:sz w:val="24"/>
          <w:szCs w:val="24"/>
          <w:lang w:val="en-US" w:eastAsia="zh-CN"/>
        </w:rPr>
        <w:fldChar w:fldCharType="separate"/>
      </w:r>
      <w:r>
        <w:rPr>
          <w:rFonts w:hint="eastAsia" w:ascii="黑体" w:hAnsi="黑体" w:eastAsia="黑体" w:cs="黑体"/>
          <w:bCs/>
          <w:sz w:val="24"/>
          <w:szCs w:val="24"/>
          <w:lang w:val="en-US" w:eastAsia="zh-CN"/>
        </w:rPr>
        <w:t>2. 环境设施压力分析</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7</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_Toc26329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第三章 规划总则</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9</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_Toc6612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（一）指导思想</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9</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_Toc44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（二）基本原则</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9</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_Toc21118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（三）规划范围</w:t>
      </w:r>
      <w:r>
        <w:rPr>
          <w:rFonts w:hint="eastAsia" w:ascii="黑体" w:hAnsi="黑体" w:eastAsia="黑体" w:cs="黑体"/>
          <w:sz w:val="24"/>
          <w:szCs w:val="24"/>
        </w:rPr>
        <w:tab/>
      </w:r>
      <w:r>
        <w:rPr>
          <w:rFonts w:hint="eastAsia" w:ascii="黑体" w:hAnsi="黑体" w:eastAsia="黑体" w:cs="黑体"/>
          <w:sz w:val="24"/>
          <w:szCs w:val="24"/>
          <w:lang w:val="en-US" w:eastAsia="zh-CN"/>
        </w:rPr>
        <w:t>2</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0</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_Toc489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（四）规划期限</w:t>
      </w:r>
      <w:r>
        <w:rPr>
          <w:rFonts w:hint="eastAsia" w:ascii="黑体" w:hAnsi="黑体" w:eastAsia="黑体" w:cs="黑体"/>
          <w:sz w:val="24"/>
          <w:szCs w:val="24"/>
        </w:rPr>
        <w:tab/>
      </w:r>
      <w:r>
        <w:rPr>
          <w:rFonts w:hint="eastAsia" w:ascii="黑体" w:hAnsi="黑体" w:eastAsia="黑体" w:cs="黑体"/>
          <w:sz w:val="24"/>
          <w:szCs w:val="24"/>
          <w:lang w:val="en-US" w:eastAsia="zh-CN"/>
        </w:rPr>
        <w:t>2</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0</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_Toc7480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（五）规划目标</w:t>
      </w:r>
      <w:r>
        <w:rPr>
          <w:rFonts w:hint="eastAsia" w:ascii="黑体" w:hAnsi="黑体" w:eastAsia="黑体" w:cs="黑体"/>
          <w:sz w:val="24"/>
          <w:szCs w:val="24"/>
        </w:rPr>
        <w:tab/>
      </w:r>
      <w:r>
        <w:rPr>
          <w:rFonts w:hint="eastAsia" w:ascii="黑体" w:hAnsi="黑体" w:eastAsia="黑体" w:cs="黑体"/>
          <w:sz w:val="24"/>
          <w:szCs w:val="24"/>
          <w:lang w:val="en-US" w:eastAsia="zh-CN"/>
        </w:rPr>
        <w:t>2</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1</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_Toc14468 </w:instrText>
      </w:r>
      <w:r>
        <w:rPr>
          <w:rFonts w:hint="eastAsia" w:ascii="黑体" w:hAnsi="黑体" w:eastAsia="黑体" w:cs="黑体"/>
          <w:sz w:val="24"/>
          <w:szCs w:val="24"/>
          <w:lang w:val="en-US" w:eastAsia="zh-CN"/>
        </w:rPr>
        <w:fldChar w:fldCharType="separate"/>
      </w:r>
      <w:r>
        <w:rPr>
          <w:rFonts w:hint="eastAsia" w:ascii="黑体" w:hAnsi="黑体" w:eastAsia="黑体" w:cs="黑体"/>
          <w:bCs/>
          <w:sz w:val="24"/>
          <w:szCs w:val="24"/>
          <w:lang w:val="en-US" w:eastAsia="zh-CN"/>
        </w:rPr>
        <w:t>1.总体目标</w:t>
      </w:r>
      <w:r>
        <w:rPr>
          <w:rFonts w:hint="eastAsia" w:ascii="黑体" w:hAnsi="黑体" w:eastAsia="黑体" w:cs="黑体"/>
          <w:sz w:val="24"/>
          <w:szCs w:val="24"/>
        </w:rPr>
        <w:tab/>
      </w:r>
      <w:r>
        <w:rPr>
          <w:rFonts w:hint="eastAsia" w:ascii="黑体" w:hAnsi="黑体" w:eastAsia="黑体" w:cs="黑体"/>
          <w:sz w:val="24"/>
          <w:szCs w:val="24"/>
          <w:lang w:val="en-US" w:eastAsia="zh-CN"/>
        </w:rPr>
        <w:t>2</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1</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_Toc8480 </w:instrText>
      </w:r>
      <w:r>
        <w:rPr>
          <w:rFonts w:hint="eastAsia" w:ascii="黑体" w:hAnsi="黑体" w:eastAsia="黑体" w:cs="黑体"/>
          <w:sz w:val="24"/>
          <w:szCs w:val="24"/>
          <w:lang w:val="en-US" w:eastAsia="zh-CN"/>
        </w:rPr>
        <w:fldChar w:fldCharType="separate"/>
      </w:r>
      <w:r>
        <w:rPr>
          <w:rFonts w:hint="eastAsia" w:ascii="黑体" w:hAnsi="黑体" w:eastAsia="黑体" w:cs="黑体"/>
          <w:bCs/>
          <w:sz w:val="24"/>
          <w:szCs w:val="24"/>
          <w:lang w:val="en-US" w:eastAsia="zh-CN"/>
        </w:rPr>
        <w:t>2.阶段目标</w:t>
      </w:r>
      <w:r>
        <w:rPr>
          <w:rFonts w:hint="eastAsia" w:ascii="黑体" w:hAnsi="黑体" w:eastAsia="黑体" w:cs="黑体"/>
          <w:sz w:val="24"/>
          <w:szCs w:val="24"/>
        </w:rPr>
        <w:tab/>
      </w:r>
      <w:r>
        <w:rPr>
          <w:rFonts w:hint="eastAsia" w:ascii="黑体" w:hAnsi="黑体" w:eastAsia="黑体" w:cs="黑体"/>
          <w:sz w:val="24"/>
          <w:szCs w:val="24"/>
          <w:lang w:val="en-US" w:eastAsia="zh-CN"/>
        </w:rPr>
        <w:t>2</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1</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_Toc28991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（六）规划指标</w:t>
      </w:r>
      <w:r>
        <w:rPr>
          <w:rFonts w:hint="eastAsia" w:ascii="黑体" w:hAnsi="黑体" w:eastAsia="黑体" w:cs="黑体"/>
          <w:sz w:val="24"/>
          <w:szCs w:val="24"/>
        </w:rPr>
        <w:tab/>
      </w:r>
      <w:r>
        <w:rPr>
          <w:rFonts w:hint="eastAsia" w:ascii="黑体" w:hAnsi="黑体" w:eastAsia="黑体" w:cs="黑体"/>
          <w:sz w:val="24"/>
          <w:szCs w:val="24"/>
          <w:lang w:val="en-US" w:eastAsia="zh-CN"/>
        </w:rPr>
        <w:t>2</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2</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_Toc30400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1.建设指标</w:t>
      </w:r>
      <w:r>
        <w:rPr>
          <w:rFonts w:hint="eastAsia" w:ascii="黑体" w:hAnsi="黑体" w:eastAsia="黑体" w:cs="黑体"/>
          <w:sz w:val="24"/>
          <w:szCs w:val="24"/>
        </w:rPr>
        <w:tab/>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22</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_Toc2455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2.可达性分析</w:t>
      </w:r>
      <w:r>
        <w:rPr>
          <w:rFonts w:hint="eastAsia" w:ascii="黑体" w:hAnsi="黑体" w:eastAsia="黑体" w:cs="黑体"/>
          <w:sz w:val="24"/>
          <w:szCs w:val="24"/>
        </w:rPr>
        <w:tab/>
      </w:r>
      <w:r>
        <w:rPr>
          <w:rFonts w:hint="eastAsia" w:ascii="黑体" w:hAnsi="黑体" w:eastAsia="黑体" w:cs="黑体"/>
          <w:sz w:val="24"/>
          <w:szCs w:val="24"/>
          <w:lang w:val="en-US" w:eastAsia="zh-CN"/>
        </w:rPr>
        <w:t>3</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1</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_Toc6194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第四章 规划任务与措施</w:t>
      </w:r>
      <w:r>
        <w:rPr>
          <w:rFonts w:hint="eastAsia" w:ascii="黑体" w:hAnsi="黑体" w:eastAsia="黑体" w:cs="黑体"/>
          <w:sz w:val="24"/>
          <w:szCs w:val="24"/>
        </w:rPr>
        <w:tab/>
      </w:r>
      <w:r>
        <w:rPr>
          <w:rFonts w:hint="eastAsia" w:ascii="黑体" w:hAnsi="黑体" w:eastAsia="黑体" w:cs="黑体"/>
          <w:sz w:val="24"/>
          <w:szCs w:val="24"/>
          <w:lang w:val="en-US" w:eastAsia="zh-CN"/>
        </w:rPr>
        <w:t>3</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5</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_Toc17264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（一）生态制度体系建设</w:t>
      </w:r>
      <w:r>
        <w:rPr>
          <w:rFonts w:hint="eastAsia" w:ascii="黑体" w:hAnsi="黑体" w:eastAsia="黑体" w:cs="黑体"/>
          <w:sz w:val="24"/>
          <w:szCs w:val="24"/>
        </w:rPr>
        <w:tab/>
      </w:r>
      <w:r>
        <w:rPr>
          <w:rFonts w:hint="eastAsia" w:ascii="黑体" w:hAnsi="黑体" w:eastAsia="黑体" w:cs="黑体"/>
          <w:sz w:val="24"/>
          <w:szCs w:val="24"/>
          <w:lang w:val="en-US" w:eastAsia="zh-CN"/>
        </w:rPr>
        <w:t>3</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5</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_Toc30519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1.实行最严格的生态环境保护制度</w:t>
      </w:r>
      <w:r>
        <w:rPr>
          <w:rFonts w:hint="eastAsia" w:ascii="黑体" w:hAnsi="黑体" w:eastAsia="黑体" w:cs="黑体"/>
          <w:sz w:val="24"/>
          <w:szCs w:val="24"/>
        </w:rPr>
        <w:tab/>
      </w:r>
      <w:r>
        <w:rPr>
          <w:rFonts w:hint="eastAsia" w:ascii="黑体" w:hAnsi="黑体" w:eastAsia="黑体" w:cs="黑体"/>
          <w:sz w:val="24"/>
          <w:szCs w:val="24"/>
          <w:lang w:val="en-US" w:eastAsia="zh-CN"/>
        </w:rPr>
        <w:t>3</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5</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_Toc19272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2.健全资源高效利用制度</w:t>
      </w:r>
      <w:r>
        <w:rPr>
          <w:rFonts w:hint="eastAsia" w:ascii="黑体" w:hAnsi="黑体" w:eastAsia="黑体" w:cs="黑体"/>
          <w:sz w:val="24"/>
          <w:szCs w:val="24"/>
        </w:rPr>
        <w:tab/>
      </w:r>
      <w:r>
        <w:rPr>
          <w:rFonts w:hint="eastAsia" w:ascii="黑体" w:hAnsi="黑体" w:eastAsia="黑体" w:cs="黑体"/>
          <w:sz w:val="24"/>
          <w:szCs w:val="24"/>
          <w:lang w:val="en-US" w:eastAsia="zh-CN"/>
        </w:rPr>
        <w:t>3</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8</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_Toc4371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3.健全生态补偿制度</w:t>
      </w:r>
      <w:r>
        <w:rPr>
          <w:rFonts w:hint="eastAsia" w:ascii="黑体" w:hAnsi="黑体" w:eastAsia="黑体" w:cs="黑体"/>
          <w:sz w:val="24"/>
          <w:szCs w:val="24"/>
        </w:rPr>
        <w:tab/>
      </w:r>
      <w:r>
        <w:rPr>
          <w:rFonts w:hint="eastAsia" w:ascii="黑体" w:hAnsi="黑体" w:eastAsia="黑体" w:cs="黑体"/>
          <w:sz w:val="24"/>
          <w:szCs w:val="24"/>
          <w:lang w:val="en-US" w:eastAsia="zh-CN"/>
        </w:rPr>
        <w:t>3</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9</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_Toc2347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4.健全生态环境保护责任制度</w:t>
      </w:r>
      <w:r>
        <w:rPr>
          <w:rFonts w:hint="eastAsia" w:ascii="黑体" w:hAnsi="黑体" w:eastAsia="黑体" w:cs="黑体"/>
          <w:sz w:val="24"/>
          <w:szCs w:val="24"/>
        </w:rPr>
        <w:tab/>
      </w:r>
      <w:r>
        <w:rPr>
          <w:rFonts w:hint="eastAsia" w:ascii="黑体" w:hAnsi="黑体" w:eastAsia="黑体" w:cs="黑体"/>
          <w:sz w:val="24"/>
          <w:szCs w:val="24"/>
          <w:lang w:val="en-US" w:eastAsia="zh-CN"/>
        </w:rPr>
        <w:t>3</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9</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_Toc22056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5.建立健全现代环境治理体系</w:t>
      </w:r>
      <w:r>
        <w:rPr>
          <w:rFonts w:hint="eastAsia" w:ascii="黑体" w:hAnsi="黑体" w:eastAsia="黑体" w:cs="黑体"/>
          <w:sz w:val="24"/>
          <w:szCs w:val="24"/>
        </w:rPr>
        <w:tab/>
      </w:r>
      <w:r>
        <w:rPr>
          <w:rFonts w:hint="eastAsia" w:ascii="黑体" w:hAnsi="黑体" w:eastAsia="黑体" w:cs="黑体"/>
          <w:sz w:val="24"/>
          <w:szCs w:val="24"/>
          <w:lang w:val="en-US" w:eastAsia="zh-CN"/>
        </w:rPr>
        <w:t>4</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1</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_Toc23119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（二）生态安全体系建设</w:t>
      </w:r>
      <w:r>
        <w:rPr>
          <w:rFonts w:hint="eastAsia" w:ascii="黑体" w:hAnsi="黑体" w:eastAsia="黑体" w:cs="黑体"/>
          <w:sz w:val="24"/>
          <w:szCs w:val="24"/>
        </w:rPr>
        <w:tab/>
      </w:r>
      <w:r>
        <w:rPr>
          <w:rFonts w:hint="eastAsia" w:ascii="黑体" w:hAnsi="黑体" w:eastAsia="黑体" w:cs="黑体"/>
          <w:sz w:val="24"/>
          <w:szCs w:val="24"/>
          <w:lang w:val="en-US" w:eastAsia="zh-CN"/>
        </w:rPr>
        <w:t>4</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4</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_Toc11186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1.高标准打好蓝天保卫战</w:t>
      </w:r>
      <w:r>
        <w:rPr>
          <w:rFonts w:hint="eastAsia" w:ascii="黑体" w:hAnsi="黑体" w:eastAsia="黑体" w:cs="黑体"/>
          <w:sz w:val="24"/>
          <w:szCs w:val="24"/>
        </w:rPr>
        <w:tab/>
      </w:r>
      <w:r>
        <w:rPr>
          <w:rFonts w:hint="eastAsia" w:ascii="黑体" w:hAnsi="黑体" w:eastAsia="黑体" w:cs="黑体"/>
          <w:sz w:val="24"/>
          <w:szCs w:val="24"/>
          <w:lang w:val="en-US" w:eastAsia="zh-CN"/>
        </w:rPr>
        <w:t>4</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4</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_Toc120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2.全方位打好碧水保卫战</w:t>
      </w:r>
      <w:r>
        <w:rPr>
          <w:rFonts w:hint="eastAsia" w:ascii="黑体" w:hAnsi="黑体" w:eastAsia="黑体" w:cs="黑体"/>
          <w:sz w:val="24"/>
          <w:szCs w:val="24"/>
        </w:rPr>
        <w:tab/>
      </w:r>
      <w:r>
        <w:rPr>
          <w:rFonts w:hint="eastAsia" w:ascii="黑体" w:hAnsi="黑体" w:eastAsia="黑体" w:cs="黑体"/>
          <w:sz w:val="24"/>
          <w:szCs w:val="24"/>
          <w:lang w:val="en-US" w:eastAsia="zh-CN"/>
        </w:rPr>
        <w:t>4</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7</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_Toc16394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3.高质量打好净土保卫战</w:t>
      </w:r>
      <w:r>
        <w:rPr>
          <w:rFonts w:hint="eastAsia" w:ascii="黑体" w:hAnsi="黑体" w:eastAsia="黑体" w:cs="黑体"/>
          <w:sz w:val="24"/>
          <w:szCs w:val="24"/>
        </w:rPr>
        <w:tab/>
      </w:r>
      <w:r>
        <w:rPr>
          <w:rFonts w:hint="eastAsia" w:ascii="黑体" w:hAnsi="黑体" w:eastAsia="黑体" w:cs="黑体"/>
          <w:sz w:val="24"/>
          <w:szCs w:val="24"/>
          <w:lang w:val="en-US" w:eastAsia="zh-CN"/>
        </w:rPr>
        <w:t>4</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9</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_Toc15766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4.加快探索无废城市建设</w:t>
      </w:r>
      <w:r>
        <w:rPr>
          <w:rFonts w:hint="eastAsia" w:ascii="黑体" w:hAnsi="黑体" w:eastAsia="黑体" w:cs="黑体"/>
          <w:sz w:val="24"/>
          <w:szCs w:val="24"/>
        </w:rPr>
        <w:tab/>
      </w:r>
      <w:r>
        <w:rPr>
          <w:rFonts w:hint="eastAsia" w:ascii="黑体" w:hAnsi="黑体" w:eastAsia="黑体" w:cs="黑体"/>
          <w:sz w:val="24"/>
          <w:szCs w:val="24"/>
          <w:lang w:val="en-US" w:eastAsia="zh-CN"/>
        </w:rPr>
        <w:t>5</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0</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_Toc28251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5.深入打好农业农村污染防治攻坚战</w:t>
      </w:r>
      <w:r>
        <w:rPr>
          <w:rFonts w:hint="eastAsia" w:ascii="黑体" w:hAnsi="黑体" w:eastAsia="黑体" w:cs="黑体"/>
          <w:sz w:val="24"/>
          <w:szCs w:val="24"/>
        </w:rPr>
        <w:tab/>
      </w:r>
      <w:r>
        <w:rPr>
          <w:rFonts w:hint="eastAsia" w:ascii="黑体" w:hAnsi="黑体" w:eastAsia="黑体" w:cs="黑体"/>
          <w:sz w:val="24"/>
          <w:szCs w:val="24"/>
          <w:lang w:val="en-US" w:eastAsia="zh-CN"/>
        </w:rPr>
        <w:t>5</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2</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_Toc1342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6.深入打好生态保护修复攻坚战</w:t>
      </w:r>
      <w:r>
        <w:rPr>
          <w:rFonts w:hint="eastAsia" w:ascii="黑体" w:hAnsi="黑体" w:eastAsia="黑体" w:cs="黑体"/>
          <w:sz w:val="24"/>
          <w:szCs w:val="24"/>
        </w:rPr>
        <w:tab/>
      </w:r>
      <w:r>
        <w:rPr>
          <w:rFonts w:hint="eastAsia" w:ascii="黑体" w:hAnsi="黑体" w:eastAsia="黑体" w:cs="黑体"/>
          <w:sz w:val="24"/>
          <w:szCs w:val="24"/>
          <w:lang w:val="en-US" w:eastAsia="zh-CN"/>
        </w:rPr>
        <w:t>5</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4</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_Toc5300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7.控制温室气体排放，积极应对气候变化</w:t>
      </w:r>
      <w:r>
        <w:rPr>
          <w:rFonts w:hint="eastAsia" w:ascii="黑体" w:hAnsi="黑体" w:eastAsia="黑体" w:cs="黑体"/>
          <w:sz w:val="24"/>
          <w:szCs w:val="24"/>
        </w:rPr>
        <w:tab/>
      </w:r>
      <w:r>
        <w:rPr>
          <w:rFonts w:hint="eastAsia" w:ascii="黑体" w:hAnsi="黑体" w:eastAsia="黑体" w:cs="黑体"/>
          <w:sz w:val="24"/>
          <w:szCs w:val="24"/>
          <w:lang w:val="en-US" w:eastAsia="zh-CN"/>
        </w:rPr>
        <w:t>5</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5</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_Toc15075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8.强化生态环境风险管控</w:t>
      </w:r>
      <w:r>
        <w:rPr>
          <w:rFonts w:hint="eastAsia" w:ascii="黑体" w:hAnsi="黑体" w:eastAsia="黑体" w:cs="黑体"/>
          <w:sz w:val="24"/>
          <w:szCs w:val="24"/>
        </w:rPr>
        <w:tab/>
      </w:r>
      <w:r>
        <w:rPr>
          <w:rFonts w:hint="eastAsia" w:ascii="黑体" w:hAnsi="黑体" w:eastAsia="黑体" w:cs="黑体"/>
          <w:sz w:val="24"/>
          <w:szCs w:val="24"/>
          <w:lang w:val="en-US" w:eastAsia="zh-CN"/>
        </w:rPr>
        <w:t>5</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7</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_Toc6096 </w:instrText>
      </w:r>
      <w:r>
        <w:rPr>
          <w:rFonts w:hint="eastAsia" w:ascii="黑体" w:hAnsi="黑体" w:eastAsia="黑体" w:cs="黑体"/>
          <w:sz w:val="24"/>
          <w:szCs w:val="24"/>
          <w:lang w:val="en-US" w:eastAsia="zh-CN"/>
        </w:rPr>
        <w:fldChar w:fldCharType="separate"/>
      </w:r>
      <w:r>
        <w:rPr>
          <w:rFonts w:hint="eastAsia" w:ascii="黑体" w:hAnsi="黑体" w:eastAsia="黑体" w:cs="黑体"/>
          <w:bCs/>
          <w:sz w:val="24"/>
          <w:szCs w:val="24"/>
          <w:lang w:val="en-US" w:eastAsia="zh-CN"/>
        </w:rPr>
        <w:t>9.</w:t>
      </w:r>
      <w:r>
        <w:rPr>
          <w:rFonts w:hint="eastAsia" w:ascii="黑体" w:hAnsi="黑体" w:eastAsia="黑体" w:cs="黑体"/>
          <w:bCs/>
          <w:sz w:val="24"/>
          <w:szCs w:val="24"/>
        </w:rPr>
        <w:t>加强环境噪声污染防治</w:t>
      </w:r>
      <w:r>
        <w:rPr>
          <w:rFonts w:hint="eastAsia" w:ascii="黑体" w:hAnsi="黑体" w:eastAsia="黑体" w:cs="黑体"/>
          <w:sz w:val="24"/>
          <w:szCs w:val="24"/>
        </w:rPr>
        <w:tab/>
      </w:r>
      <w:r>
        <w:rPr>
          <w:rFonts w:hint="eastAsia" w:ascii="黑体" w:hAnsi="黑体" w:eastAsia="黑体" w:cs="黑体"/>
          <w:sz w:val="24"/>
          <w:szCs w:val="24"/>
          <w:lang w:val="en-US" w:eastAsia="zh-CN"/>
        </w:rPr>
        <w:t>5</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8</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_Toc27400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（三）生态空间体系建设</w:t>
      </w:r>
      <w:r>
        <w:rPr>
          <w:rFonts w:hint="eastAsia" w:ascii="黑体" w:hAnsi="黑体" w:eastAsia="黑体" w:cs="黑体"/>
          <w:sz w:val="24"/>
          <w:szCs w:val="24"/>
        </w:rPr>
        <w:tab/>
      </w:r>
      <w:r>
        <w:rPr>
          <w:rFonts w:hint="eastAsia" w:ascii="黑体" w:hAnsi="黑体" w:eastAsia="黑体" w:cs="黑体"/>
          <w:sz w:val="24"/>
          <w:szCs w:val="24"/>
          <w:lang w:val="en-US" w:eastAsia="zh-CN"/>
        </w:rPr>
        <w:t>5</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9</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_Toc27159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1.落实国土空间用途管制</w:t>
      </w:r>
      <w:r>
        <w:rPr>
          <w:rFonts w:hint="eastAsia" w:ascii="黑体" w:hAnsi="黑体" w:eastAsia="黑体" w:cs="黑体"/>
          <w:sz w:val="24"/>
          <w:szCs w:val="24"/>
        </w:rPr>
        <w:tab/>
      </w:r>
      <w:r>
        <w:rPr>
          <w:rFonts w:hint="eastAsia" w:ascii="黑体" w:hAnsi="黑体" w:eastAsia="黑体" w:cs="黑体"/>
          <w:sz w:val="24"/>
          <w:szCs w:val="24"/>
          <w:lang w:val="en-US" w:eastAsia="zh-CN"/>
        </w:rPr>
        <w:t>5</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9</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_Toc7864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2.优化生态安全格局</w:t>
      </w:r>
      <w:r>
        <w:rPr>
          <w:rFonts w:hint="eastAsia" w:ascii="黑体" w:hAnsi="黑体" w:eastAsia="黑体" w:cs="黑体"/>
          <w:sz w:val="24"/>
          <w:szCs w:val="24"/>
        </w:rPr>
        <w:tab/>
      </w:r>
      <w:r>
        <w:rPr>
          <w:rFonts w:hint="eastAsia" w:ascii="黑体" w:hAnsi="黑体" w:eastAsia="黑体" w:cs="黑体"/>
          <w:sz w:val="24"/>
          <w:szCs w:val="24"/>
          <w:lang w:val="en-US" w:eastAsia="zh-CN"/>
        </w:rPr>
        <w:t>6</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1</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_Toc22428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3.优化城镇空间布局</w:t>
      </w:r>
      <w:r>
        <w:rPr>
          <w:rFonts w:hint="eastAsia" w:ascii="黑体" w:hAnsi="黑体" w:eastAsia="黑体" w:cs="黑体"/>
          <w:sz w:val="24"/>
          <w:szCs w:val="24"/>
        </w:rPr>
        <w:tab/>
      </w:r>
      <w:r>
        <w:rPr>
          <w:rFonts w:hint="eastAsia" w:ascii="黑体" w:hAnsi="黑体" w:eastAsia="黑体" w:cs="黑体"/>
          <w:sz w:val="24"/>
          <w:szCs w:val="24"/>
          <w:lang w:val="en-US" w:eastAsia="zh-CN"/>
        </w:rPr>
        <w:t>6</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3</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_Toc9224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（四）生态经济体系建设</w:t>
      </w:r>
      <w:r>
        <w:rPr>
          <w:rFonts w:hint="eastAsia" w:ascii="黑体" w:hAnsi="黑体" w:eastAsia="黑体" w:cs="黑体"/>
          <w:sz w:val="24"/>
          <w:szCs w:val="24"/>
        </w:rPr>
        <w:tab/>
      </w:r>
      <w:r>
        <w:rPr>
          <w:rFonts w:hint="eastAsia" w:ascii="黑体" w:hAnsi="黑体" w:eastAsia="黑体" w:cs="黑体"/>
          <w:sz w:val="24"/>
          <w:szCs w:val="24"/>
          <w:lang w:val="en-US" w:eastAsia="zh-CN"/>
        </w:rPr>
        <w:t>6</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5</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_Toc10027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1.优化调整产业结构</w:t>
      </w:r>
      <w:r>
        <w:rPr>
          <w:rFonts w:hint="eastAsia" w:ascii="黑体" w:hAnsi="黑体" w:eastAsia="黑体" w:cs="黑体"/>
          <w:sz w:val="24"/>
          <w:szCs w:val="24"/>
        </w:rPr>
        <w:tab/>
      </w:r>
      <w:r>
        <w:rPr>
          <w:rFonts w:hint="eastAsia" w:ascii="黑体" w:hAnsi="黑体" w:eastAsia="黑体" w:cs="黑体"/>
          <w:sz w:val="24"/>
          <w:szCs w:val="24"/>
          <w:lang w:val="en-US" w:eastAsia="zh-CN"/>
        </w:rPr>
        <w:t>6</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5</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_Toc15224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2.大力发展绿色经济产业</w:t>
      </w:r>
      <w:r>
        <w:rPr>
          <w:rFonts w:hint="eastAsia" w:ascii="黑体" w:hAnsi="黑体" w:eastAsia="黑体" w:cs="黑体"/>
          <w:sz w:val="24"/>
          <w:szCs w:val="24"/>
        </w:rPr>
        <w:tab/>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65</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_Toc24740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3.发展大都市现代农业</w:t>
      </w:r>
      <w:r>
        <w:rPr>
          <w:rFonts w:hint="eastAsia" w:ascii="黑体" w:hAnsi="黑体" w:eastAsia="黑体" w:cs="黑体"/>
          <w:sz w:val="24"/>
          <w:szCs w:val="24"/>
        </w:rPr>
        <w:tab/>
      </w:r>
      <w:r>
        <w:rPr>
          <w:rFonts w:hint="eastAsia" w:ascii="黑体" w:hAnsi="黑体" w:eastAsia="黑体" w:cs="黑体"/>
          <w:sz w:val="24"/>
          <w:szCs w:val="24"/>
          <w:lang w:val="en-US" w:eastAsia="zh-CN"/>
        </w:rPr>
        <w:t>7</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3</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_Toc22877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4.构建绿色低碳能源体系</w:t>
      </w:r>
      <w:r>
        <w:rPr>
          <w:rFonts w:hint="eastAsia" w:ascii="黑体" w:hAnsi="黑体" w:eastAsia="黑体" w:cs="黑体"/>
          <w:sz w:val="24"/>
          <w:szCs w:val="24"/>
        </w:rPr>
        <w:tab/>
      </w:r>
      <w:r>
        <w:rPr>
          <w:rFonts w:hint="eastAsia" w:ascii="黑体" w:hAnsi="黑体" w:eastAsia="黑体" w:cs="黑体"/>
          <w:sz w:val="24"/>
          <w:szCs w:val="24"/>
          <w:lang w:val="en-US" w:eastAsia="zh-CN"/>
        </w:rPr>
        <w:t>7</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4</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_Toc19242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5.推进行业清洁化生产</w:t>
      </w:r>
      <w:r>
        <w:rPr>
          <w:rFonts w:hint="eastAsia" w:ascii="黑体" w:hAnsi="黑体" w:eastAsia="黑体" w:cs="黑体"/>
          <w:sz w:val="24"/>
          <w:szCs w:val="24"/>
        </w:rPr>
        <w:tab/>
      </w:r>
      <w:r>
        <w:rPr>
          <w:rFonts w:hint="eastAsia" w:ascii="黑体" w:hAnsi="黑体" w:eastAsia="黑体" w:cs="黑体"/>
          <w:sz w:val="24"/>
          <w:szCs w:val="24"/>
          <w:lang w:val="en-US" w:eastAsia="zh-CN"/>
        </w:rPr>
        <w:t>7</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5</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_Toc25546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（五）生态生活体系建设</w:t>
      </w:r>
      <w:r>
        <w:rPr>
          <w:rFonts w:hint="eastAsia" w:ascii="黑体" w:hAnsi="黑体" w:eastAsia="黑体" w:cs="黑体"/>
          <w:sz w:val="24"/>
          <w:szCs w:val="24"/>
        </w:rPr>
        <w:tab/>
      </w:r>
      <w:r>
        <w:rPr>
          <w:rFonts w:hint="eastAsia" w:ascii="黑体" w:hAnsi="黑体" w:eastAsia="黑体" w:cs="黑体"/>
          <w:sz w:val="24"/>
          <w:szCs w:val="24"/>
          <w:lang w:val="en-US" w:eastAsia="zh-CN"/>
        </w:rPr>
        <w:t>7</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5</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_Toc2559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1.扩大绿色生态空间</w:t>
      </w:r>
      <w:r>
        <w:rPr>
          <w:rFonts w:hint="eastAsia" w:ascii="黑体" w:hAnsi="黑体" w:eastAsia="黑体" w:cs="黑体"/>
          <w:sz w:val="24"/>
          <w:szCs w:val="24"/>
        </w:rPr>
        <w:tab/>
      </w:r>
      <w:r>
        <w:rPr>
          <w:rFonts w:hint="eastAsia" w:ascii="黑体" w:hAnsi="黑体" w:eastAsia="黑体" w:cs="黑体"/>
          <w:sz w:val="24"/>
          <w:szCs w:val="24"/>
          <w:lang w:val="en-US" w:eastAsia="zh-CN"/>
        </w:rPr>
        <w:t>7</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6</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_Toc22673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2.优化人居生态环境</w:t>
      </w:r>
      <w:r>
        <w:rPr>
          <w:rFonts w:hint="eastAsia" w:ascii="黑体" w:hAnsi="黑体" w:eastAsia="黑体" w:cs="黑体"/>
          <w:sz w:val="24"/>
          <w:szCs w:val="24"/>
        </w:rPr>
        <w:tab/>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77</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_Toc13565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3.积极倡导绿色生活方式</w:t>
      </w:r>
      <w:r>
        <w:rPr>
          <w:rFonts w:hint="eastAsia" w:ascii="黑体" w:hAnsi="黑体" w:eastAsia="黑体" w:cs="黑体"/>
          <w:sz w:val="24"/>
          <w:szCs w:val="24"/>
        </w:rPr>
        <w:tab/>
      </w:r>
      <w:r>
        <w:rPr>
          <w:rFonts w:hint="eastAsia" w:ascii="黑体" w:hAnsi="黑体" w:eastAsia="黑体" w:cs="黑体"/>
          <w:sz w:val="24"/>
          <w:szCs w:val="24"/>
          <w:lang w:val="en-US" w:eastAsia="zh-CN"/>
        </w:rPr>
        <w:t>8</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0</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_Toc25666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（六）生态文化体系建设</w:t>
      </w:r>
      <w:r>
        <w:rPr>
          <w:rFonts w:hint="eastAsia" w:ascii="黑体" w:hAnsi="黑体" w:eastAsia="黑体" w:cs="黑体"/>
          <w:sz w:val="24"/>
          <w:szCs w:val="24"/>
        </w:rPr>
        <w:tab/>
      </w:r>
      <w:r>
        <w:rPr>
          <w:rFonts w:hint="eastAsia" w:ascii="黑体" w:hAnsi="黑体" w:eastAsia="黑体" w:cs="黑体"/>
          <w:sz w:val="24"/>
          <w:szCs w:val="24"/>
          <w:lang w:val="en-US" w:eastAsia="zh-CN"/>
        </w:rPr>
        <w:t>8</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3</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_Toc29191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1.加强生态文明共建共享</w:t>
      </w:r>
      <w:r>
        <w:rPr>
          <w:rFonts w:hint="eastAsia" w:ascii="黑体" w:hAnsi="黑体" w:eastAsia="黑体" w:cs="黑体"/>
          <w:sz w:val="24"/>
          <w:szCs w:val="24"/>
        </w:rPr>
        <w:tab/>
      </w:r>
      <w:r>
        <w:rPr>
          <w:rFonts w:hint="eastAsia" w:ascii="黑体" w:hAnsi="黑体" w:eastAsia="黑体" w:cs="黑体"/>
          <w:sz w:val="24"/>
          <w:szCs w:val="24"/>
          <w:lang w:val="en-US" w:eastAsia="zh-CN"/>
        </w:rPr>
        <w:t>8</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4</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_Toc31334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2.多途径开展生态文明宣传</w:t>
      </w:r>
      <w:r>
        <w:rPr>
          <w:rFonts w:hint="eastAsia" w:ascii="黑体" w:hAnsi="黑体" w:eastAsia="黑体" w:cs="黑体"/>
          <w:sz w:val="24"/>
          <w:szCs w:val="24"/>
        </w:rPr>
        <w:tab/>
      </w:r>
      <w:r>
        <w:rPr>
          <w:rFonts w:hint="eastAsia" w:ascii="黑体" w:hAnsi="黑体" w:eastAsia="黑体" w:cs="黑体"/>
          <w:sz w:val="24"/>
          <w:szCs w:val="24"/>
          <w:lang w:val="en-US" w:eastAsia="zh-CN"/>
        </w:rPr>
        <w:t>8</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7</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_Toc32499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第五章 重点工程</w:t>
      </w:r>
      <w:r>
        <w:rPr>
          <w:rFonts w:hint="eastAsia" w:ascii="黑体" w:hAnsi="黑体" w:eastAsia="黑体" w:cs="黑体"/>
          <w:sz w:val="24"/>
          <w:szCs w:val="24"/>
        </w:rPr>
        <w:tab/>
      </w:r>
      <w:r>
        <w:rPr>
          <w:rFonts w:hint="eastAsia" w:ascii="黑体" w:hAnsi="黑体" w:eastAsia="黑体" w:cs="黑体"/>
          <w:sz w:val="24"/>
          <w:szCs w:val="24"/>
          <w:lang w:val="en-US" w:eastAsia="zh-CN"/>
        </w:rPr>
        <w:t>8</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8</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_Toc16447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第六章 保障措施</w:t>
      </w:r>
      <w:r>
        <w:rPr>
          <w:rFonts w:hint="eastAsia" w:ascii="黑体" w:hAnsi="黑体" w:eastAsia="黑体" w:cs="黑体"/>
          <w:sz w:val="24"/>
          <w:szCs w:val="24"/>
        </w:rPr>
        <w:tab/>
      </w:r>
      <w:r>
        <w:rPr>
          <w:rFonts w:hint="eastAsia" w:ascii="黑体" w:hAnsi="黑体" w:eastAsia="黑体" w:cs="黑体"/>
          <w:sz w:val="24"/>
          <w:szCs w:val="24"/>
          <w:lang w:val="en-US" w:eastAsia="zh-CN"/>
        </w:rPr>
        <w:t>8</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9</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_Toc22448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（一）加强组织保障</w:t>
      </w:r>
      <w:r>
        <w:rPr>
          <w:rFonts w:hint="eastAsia" w:ascii="黑体" w:hAnsi="黑体" w:eastAsia="黑体" w:cs="黑体"/>
          <w:sz w:val="24"/>
          <w:szCs w:val="24"/>
        </w:rPr>
        <w:tab/>
      </w:r>
      <w:r>
        <w:rPr>
          <w:rFonts w:hint="eastAsia" w:ascii="黑体" w:hAnsi="黑体" w:eastAsia="黑体" w:cs="黑体"/>
          <w:sz w:val="24"/>
          <w:szCs w:val="24"/>
          <w:lang w:val="en-US" w:eastAsia="zh-CN"/>
        </w:rPr>
        <w:t>8</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9</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_Toc26322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（二）落实</w:t>
      </w:r>
      <w:r>
        <w:rPr>
          <w:rFonts w:hint="eastAsia" w:ascii="黑体" w:hAnsi="黑体" w:eastAsia="黑体" w:cs="黑体"/>
          <w:sz w:val="24"/>
          <w:szCs w:val="24"/>
        </w:rPr>
        <w:t>制度保障</w:t>
      </w:r>
      <w:r>
        <w:rPr>
          <w:rFonts w:hint="eastAsia" w:ascii="黑体" w:hAnsi="黑体" w:eastAsia="黑体" w:cs="黑体"/>
          <w:sz w:val="24"/>
          <w:szCs w:val="24"/>
        </w:rPr>
        <w:tab/>
      </w:r>
      <w:r>
        <w:rPr>
          <w:rFonts w:hint="eastAsia" w:ascii="黑体" w:hAnsi="黑体" w:eastAsia="黑体" w:cs="黑体"/>
          <w:sz w:val="24"/>
          <w:szCs w:val="24"/>
          <w:lang w:val="en-US" w:eastAsia="zh-CN"/>
        </w:rPr>
        <w:t>8</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9</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_Toc17081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（三）实施监督保障</w:t>
      </w:r>
      <w:r>
        <w:rPr>
          <w:rFonts w:hint="eastAsia" w:ascii="黑体" w:hAnsi="黑体" w:eastAsia="黑体" w:cs="黑体"/>
          <w:sz w:val="24"/>
          <w:szCs w:val="24"/>
        </w:rPr>
        <w:tab/>
      </w:r>
      <w:r>
        <w:rPr>
          <w:rFonts w:hint="eastAsia" w:ascii="黑体" w:hAnsi="黑体" w:eastAsia="黑体" w:cs="黑体"/>
          <w:sz w:val="24"/>
          <w:szCs w:val="24"/>
          <w:lang w:val="en-US" w:eastAsia="zh-CN"/>
        </w:rPr>
        <w:t>9</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0</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_Toc13839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（四）加大资金保障</w:t>
      </w:r>
      <w:r>
        <w:rPr>
          <w:rFonts w:hint="eastAsia" w:ascii="黑体" w:hAnsi="黑体" w:eastAsia="黑体" w:cs="黑体"/>
          <w:sz w:val="24"/>
          <w:szCs w:val="24"/>
        </w:rPr>
        <w:tab/>
      </w:r>
      <w:r>
        <w:rPr>
          <w:rFonts w:hint="eastAsia" w:ascii="黑体" w:hAnsi="黑体" w:eastAsia="黑体" w:cs="黑体"/>
          <w:sz w:val="24"/>
          <w:szCs w:val="24"/>
          <w:lang w:val="en-US" w:eastAsia="zh-CN"/>
        </w:rPr>
        <w:t>9</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0</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_Toc7705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（五）科技创新保障</w:t>
      </w:r>
      <w:r>
        <w:rPr>
          <w:rFonts w:hint="eastAsia" w:ascii="黑体" w:hAnsi="黑体" w:eastAsia="黑体" w:cs="黑体"/>
          <w:sz w:val="24"/>
          <w:szCs w:val="24"/>
        </w:rPr>
        <w:tab/>
      </w:r>
      <w:r>
        <w:rPr>
          <w:rFonts w:hint="eastAsia" w:ascii="黑体" w:hAnsi="黑体" w:eastAsia="黑体" w:cs="黑体"/>
          <w:sz w:val="24"/>
          <w:szCs w:val="24"/>
          <w:lang w:val="en-US" w:eastAsia="zh-CN"/>
        </w:rPr>
        <w:t>9</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1</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_Toc23112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（六）社会参与保障</w:t>
      </w:r>
      <w:r>
        <w:rPr>
          <w:rFonts w:hint="eastAsia" w:ascii="黑体" w:hAnsi="黑体" w:eastAsia="黑体" w:cs="黑体"/>
          <w:sz w:val="24"/>
          <w:szCs w:val="24"/>
        </w:rPr>
        <w:tab/>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92</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黑体" w:hAnsi="黑体" w:eastAsia="黑体" w:cs="黑体"/>
          <w:sz w:val="24"/>
          <w:szCs w:val="24"/>
          <w:lang w:val="en-US"/>
        </w:rPr>
      </w:pPr>
      <w:r>
        <w:rPr>
          <w:rFonts w:hint="eastAsia" w:ascii="黑体" w:hAnsi="黑体" w:eastAsia="黑体" w:cs="黑体"/>
          <w:color w:val="auto"/>
          <w:sz w:val="24"/>
          <w:szCs w:val="24"/>
          <w:lang w:val="en-US" w:eastAsia="zh-CN"/>
        </w:rPr>
        <w:fldChar w:fldCharType="begin"/>
      </w:r>
      <w:r>
        <w:rPr>
          <w:rFonts w:hint="eastAsia" w:ascii="黑体" w:hAnsi="黑体" w:eastAsia="黑体" w:cs="黑体"/>
          <w:sz w:val="24"/>
          <w:szCs w:val="24"/>
          <w:lang w:val="en-US" w:eastAsia="zh-CN"/>
        </w:rPr>
        <w:instrText xml:space="preserve"> HYPERLINK \l _Toc22919 </w:instrText>
      </w:r>
      <w:r>
        <w:rPr>
          <w:rFonts w:hint="eastAsia" w:ascii="黑体" w:hAnsi="黑体" w:eastAsia="黑体" w:cs="黑体"/>
          <w:sz w:val="24"/>
          <w:szCs w:val="24"/>
          <w:lang w:val="en-US" w:eastAsia="zh-CN"/>
        </w:rPr>
        <w:fldChar w:fldCharType="separate"/>
      </w:r>
      <w:r>
        <w:rPr>
          <w:rFonts w:hint="eastAsia" w:ascii="黑体" w:hAnsi="黑体" w:eastAsia="黑体" w:cs="黑体"/>
          <w:kern w:val="44"/>
          <w:sz w:val="24"/>
          <w:szCs w:val="24"/>
        </w:rPr>
        <w:t>附表</w:t>
      </w:r>
      <w:r>
        <w:rPr>
          <w:rFonts w:hint="eastAsia" w:ascii="黑体" w:hAnsi="黑体" w:eastAsia="黑体" w:cs="黑体"/>
          <w:kern w:val="44"/>
          <w:sz w:val="24"/>
          <w:szCs w:val="24"/>
          <w:lang w:val="en-US" w:eastAsia="zh-CN"/>
        </w:rPr>
        <w:t xml:space="preserve">    红谷滩区</w:t>
      </w:r>
      <w:r>
        <w:rPr>
          <w:rFonts w:hint="eastAsia" w:ascii="黑体" w:hAnsi="黑体" w:eastAsia="黑体" w:cs="黑体"/>
          <w:kern w:val="44"/>
          <w:sz w:val="24"/>
          <w:szCs w:val="24"/>
        </w:rPr>
        <w:t>生态文明建设重点工程表</w:t>
      </w:r>
      <w:r>
        <w:rPr>
          <w:rFonts w:hint="eastAsia" w:ascii="黑体" w:hAnsi="黑体" w:eastAsia="黑体" w:cs="黑体"/>
          <w:sz w:val="24"/>
          <w:szCs w:val="24"/>
        </w:rPr>
        <w:tab/>
      </w:r>
      <w:r>
        <w:rPr>
          <w:rFonts w:hint="eastAsia" w:ascii="黑体" w:hAnsi="黑体" w:eastAsia="黑体" w:cs="黑体"/>
          <w:sz w:val="24"/>
          <w:szCs w:val="24"/>
          <w:lang w:val="en-US" w:eastAsia="zh-CN"/>
        </w:rPr>
        <w:t>9</w:t>
      </w:r>
      <w:r>
        <w:rPr>
          <w:rFonts w:hint="eastAsia" w:ascii="黑体" w:hAnsi="黑体" w:eastAsia="黑体" w:cs="黑体"/>
          <w:color w:val="auto"/>
          <w:sz w:val="24"/>
          <w:szCs w:val="24"/>
          <w:lang w:val="en-US" w:eastAsia="zh-CN"/>
        </w:rPr>
        <w:fldChar w:fldCharType="end"/>
      </w:r>
      <w:r>
        <w:rPr>
          <w:rFonts w:hint="eastAsia" w:ascii="黑体" w:hAnsi="黑体" w:eastAsia="黑体" w:cs="黑体"/>
          <w:color w:val="auto"/>
          <w:sz w:val="24"/>
          <w:szCs w:val="24"/>
          <w:lang w:val="en-US" w:eastAsia="zh-CN"/>
        </w:rPr>
        <w:t>3</w:t>
      </w:r>
    </w:p>
    <w:p>
      <w:pPr>
        <w:pStyle w:val="10"/>
        <w:tabs>
          <w:tab w:val="right" w:leader="dot" w:pos="8306"/>
        </w:tabs>
        <w:spacing w:line="360" w:lineRule="auto"/>
        <w:rPr>
          <w:color w:val="auto"/>
        </w:rPr>
      </w:pPr>
      <w:r>
        <w:rPr>
          <w:rFonts w:hint="eastAsia" w:ascii="黑体" w:hAnsi="黑体" w:eastAsia="黑体" w:cs="黑体"/>
          <w:color w:val="auto"/>
          <w:sz w:val="24"/>
          <w:szCs w:val="24"/>
          <w:lang w:val="en-US" w:eastAsia="zh-CN"/>
        </w:rPr>
        <w:fldChar w:fldCharType="end"/>
      </w:r>
    </w:p>
    <w:p>
      <w:pPr>
        <w:pStyle w:val="13"/>
        <w:rPr>
          <w:rFonts w:hint="eastAsia"/>
          <w:color w:val="auto"/>
          <w:lang w:val="en-US" w:eastAsia="zh-CN"/>
        </w:rPr>
      </w:pPr>
      <w:r>
        <w:rPr>
          <w:rFonts w:hint="eastAsia"/>
          <w:color w:val="auto"/>
          <w:lang w:val="en-US" w:eastAsia="zh-CN"/>
        </w:rPr>
        <w:fldChar w:fldCharType="end"/>
      </w:r>
    </w:p>
    <w:p>
      <w:pPr>
        <w:pStyle w:val="19"/>
        <w:widowControl/>
        <w:numPr>
          <w:ilvl w:val="0"/>
          <w:numId w:val="0"/>
        </w:numPr>
        <w:pBdr>
          <w:top w:val="none" w:color="auto" w:sz="0" w:space="0"/>
          <w:left w:val="none" w:color="auto" w:sz="0" w:space="0"/>
          <w:bottom w:val="none" w:color="auto" w:sz="0" w:space="0"/>
          <w:right w:val="none" w:color="auto" w:sz="0" w:space="0"/>
        </w:pBdr>
        <w:wordWrap w:val="0"/>
        <w:bidi w:val="0"/>
        <w:spacing w:line="720" w:lineRule="auto"/>
        <w:jc w:val="center"/>
        <w:outlineLvl w:val="0"/>
        <w:rPr>
          <w:rFonts w:hint="eastAsia"/>
          <w:color w:val="auto"/>
          <w:lang w:val="en-US" w:eastAsia="zh-CN"/>
        </w:rPr>
      </w:pPr>
      <w:bookmarkStart w:id="12" w:name="_Toc132363057"/>
    </w:p>
    <w:p>
      <w:pPr>
        <w:pStyle w:val="19"/>
        <w:widowControl/>
        <w:numPr>
          <w:ilvl w:val="0"/>
          <w:numId w:val="0"/>
        </w:numPr>
        <w:pBdr>
          <w:top w:val="none" w:color="auto" w:sz="0" w:space="0"/>
          <w:left w:val="none" w:color="auto" w:sz="0" w:space="0"/>
          <w:bottom w:val="none" w:color="auto" w:sz="0" w:space="0"/>
          <w:right w:val="none" w:color="auto" w:sz="0" w:space="0"/>
        </w:pBdr>
        <w:wordWrap w:val="0"/>
        <w:bidi w:val="0"/>
        <w:spacing w:line="720" w:lineRule="auto"/>
        <w:jc w:val="center"/>
        <w:outlineLvl w:val="0"/>
        <w:rPr>
          <w:rFonts w:hint="eastAsia"/>
          <w:color w:val="auto"/>
          <w:lang w:val="en-US" w:eastAsia="zh-CN"/>
        </w:rPr>
      </w:pPr>
    </w:p>
    <w:p>
      <w:pPr>
        <w:pStyle w:val="19"/>
        <w:widowControl/>
        <w:numPr>
          <w:ilvl w:val="0"/>
          <w:numId w:val="0"/>
        </w:numPr>
        <w:pBdr>
          <w:top w:val="none" w:color="auto" w:sz="0" w:space="0"/>
          <w:left w:val="none" w:color="auto" w:sz="0" w:space="0"/>
          <w:bottom w:val="none" w:color="auto" w:sz="0" w:space="0"/>
          <w:right w:val="none" w:color="auto" w:sz="0" w:space="0"/>
        </w:pBdr>
        <w:wordWrap w:val="0"/>
        <w:bidi w:val="0"/>
        <w:spacing w:line="720" w:lineRule="auto"/>
        <w:jc w:val="center"/>
        <w:outlineLvl w:val="0"/>
        <w:rPr>
          <w:rFonts w:hint="eastAsia"/>
          <w:color w:val="auto"/>
          <w:lang w:val="en-US" w:eastAsia="zh-CN"/>
        </w:rPr>
      </w:pPr>
    </w:p>
    <w:p>
      <w:pPr>
        <w:pStyle w:val="19"/>
        <w:widowControl/>
        <w:numPr>
          <w:ilvl w:val="0"/>
          <w:numId w:val="0"/>
        </w:numPr>
        <w:pBdr>
          <w:top w:val="none" w:color="auto" w:sz="0" w:space="0"/>
          <w:left w:val="none" w:color="auto" w:sz="0" w:space="0"/>
          <w:bottom w:val="none" w:color="auto" w:sz="0" w:space="0"/>
          <w:right w:val="none" w:color="auto" w:sz="0" w:space="0"/>
        </w:pBdr>
        <w:wordWrap w:val="0"/>
        <w:bidi w:val="0"/>
        <w:spacing w:line="720" w:lineRule="auto"/>
        <w:jc w:val="center"/>
        <w:outlineLvl w:val="0"/>
        <w:rPr>
          <w:rFonts w:hint="eastAsia"/>
          <w:color w:val="auto"/>
          <w:lang w:val="en-US" w:eastAsia="zh-CN"/>
        </w:rPr>
      </w:pPr>
    </w:p>
    <w:p>
      <w:pPr>
        <w:pStyle w:val="19"/>
        <w:widowControl/>
        <w:numPr>
          <w:ilvl w:val="0"/>
          <w:numId w:val="0"/>
        </w:numPr>
        <w:pBdr>
          <w:top w:val="none" w:color="auto" w:sz="0" w:space="0"/>
          <w:left w:val="none" w:color="auto" w:sz="0" w:space="0"/>
          <w:bottom w:val="none" w:color="auto" w:sz="0" w:space="0"/>
          <w:right w:val="none" w:color="auto" w:sz="0" w:space="0"/>
        </w:pBdr>
        <w:wordWrap w:val="0"/>
        <w:bidi w:val="0"/>
        <w:spacing w:line="720" w:lineRule="auto"/>
        <w:jc w:val="center"/>
        <w:outlineLvl w:val="0"/>
        <w:rPr>
          <w:rFonts w:hint="eastAsia"/>
          <w:color w:val="auto"/>
          <w:lang w:val="en-US" w:eastAsia="zh-CN"/>
        </w:rPr>
      </w:pPr>
    </w:p>
    <w:p>
      <w:pPr>
        <w:pStyle w:val="19"/>
        <w:widowControl/>
        <w:numPr>
          <w:ilvl w:val="0"/>
          <w:numId w:val="0"/>
        </w:numPr>
        <w:pBdr>
          <w:top w:val="none" w:color="auto" w:sz="0" w:space="0"/>
          <w:left w:val="none" w:color="auto" w:sz="0" w:space="0"/>
          <w:bottom w:val="none" w:color="auto" w:sz="0" w:space="0"/>
          <w:right w:val="none" w:color="auto" w:sz="0" w:space="0"/>
        </w:pBdr>
        <w:wordWrap w:val="0"/>
        <w:bidi w:val="0"/>
        <w:spacing w:line="720" w:lineRule="auto"/>
        <w:jc w:val="center"/>
        <w:outlineLvl w:val="0"/>
        <w:rPr>
          <w:rFonts w:hint="eastAsia"/>
          <w:color w:val="auto"/>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Style w:val="19"/>
        <w:bidi w:val="0"/>
        <w:ind w:left="0" w:leftChars="0" w:firstLine="0" w:firstLineChars="0"/>
        <w:rPr>
          <w:rFonts w:hint="eastAsia"/>
          <w:color w:val="auto"/>
          <w:lang w:val="en-US" w:eastAsia="zh-CN"/>
        </w:rPr>
      </w:pPr>
      <w:r>
        <w:rPr>
          <w:rFonts w:hint="eastAsia"/>
          <w:color w:val="auto"/>
          <w:lang w:val="en-US" w:eastAsia="zh-CN"/>
        </w:rPr>
        <w:t xml:space="preserve">  </w:t>
      </w:r>
      <w:bookmarkStart w:id="13" w:name="_Toc29481"/>
      <w:bookmarkStart w:id="14" w:name="_Toc19828"/>
      <w:bookmarkStart w:id="15" w:name="_Toc20472"/>
      <w:bookmarkStart w:id="16" w:name="_Toc31805"/>
      <w:r>
        <w:rPr>
          <w:rFonts w:hint="eastAsia"/>
          <w:color w:val="auto"/>
          <w:lang w:val="en-US" w:eastAsia="zh-CN"/>
        </w:rPr>
        <w:t>形势与基础</w:t>
      </w:r>
      <w:bookmarkEnd w:id="12"/>
      <w:bookmarkEnd w:id="13"/>
      <w:bookmarkEnd w:id="14"/>
      <w:bookmarkEnd w:id="15"/>
      <w:bookmarkEnd w:id="16"/>
    </w:p>
    <w:p>
      <w:pPr>
        <w:pStyle w:val="20"/>
        <w:numPr>
          <w:ilvl w:val="1"/>
          <w:numId w:val="0"/>
        </w:numPr>
        <w:bidi w:val="0"/>
        <w:ind w:leftChars="0"/>
        <w:rPr>
          <w:rFonts w:hint="eastAsia" w:ascii="仿宋" w:hAnsi="仿宋" w:eastAsia="仿宋" w:cs="仿宋"/>
          <w:color w:val="auto"/>
          <w:lang w:val="en-US" w:eastAsia="zh-CN"/>
        </w:rPr>
      </w:pPr>
      <w:bookmarkStart w:id="17" w:name="_Toc16283"/>
      <w:bookmarkStart w:id="18" w:name="_Toc5312"/>
      <w:bookmarkStart w:id="19" w:name="_Toc5705"/>
      <w:bookmarkStart w:id="20" w:name="_Toc27769"/>
      <w:r>
        <w:rPr>
          <w:rFonts w:hint="eastAsia" w:ascii="仿宋" w:hAnsi="仿宋" w:eastAsia="仿宋" w:cs="仿宋"/>
          <w:color w:val="auto"/>
          <w:lang w:val="en-US" w:eastAsia="zh-CN"/>
        </w:rPr>
        <w:t>（一）面</w:t>
      </w:r>
      <w:r>
        <w:rPr>
          <w:rFonts w:hint="eastAsia" w:ascii="仿宋" w:hAnsi="仿宋" w:eastAsia="仿宋" w:cs="仿宋"/>
          <w:color w:val="auto"/>
        </w:rPr>
        <w:t>临</w:t>
      </w:r>
      <w:bookmarkEnd w:id="17"/>
      <w:bookmarkEnd w:id="18"/>
      <w:bookmarkEnd w:id="19"/>
      <w:r>
        <w:rPr>
          <w:rFonts w:hint="eastAsia" w:ascii="仿宋" w:hAnsi="仿宋" w:eastAsia="仿宋" w:cs="仿宋"/>
          <w:color w:val="auto"/>
          <w:lang w:val="en-US" w:eastAsia="zh-CN"/>
        </w:rPr>
        <w:t>形势</w:t>
      </w:r>
      <w:bookmarkEnd w:id="20"/>
    </w:p>
    <w:p>
      <w:pPr>
        <w:pStyle w:val="18"/>
        <w:keepNext w:val="0"/>
        <w:keepLines w:val="0"/>
        <w:pageBreakBefore w:val="0"/>
        <w:widowControl/>
        <w:numPr>
          <w:ilvl w:val="0"/>
          <w:numId w:val="6"/>
        </w:numPr>
        <w:kinsoku/>
        <w:wordWrap/>
        <w:overflowPunct/>
        <w:topLinePunct w:val="0"/>
        <w:autoSpaceDE/>
        <w:autoSpaceDN/>
        <w:bidi w:val="0"/>
        <w:adjustRightInd/>
        <w:snapToGrid/>
        <w:ind w:left="0" w:leftChars="0" w:firstLine="562" w:firstLineChars="200"/>
        <w:textAlignment w:val="auto"/>
        <w:outlineLvl w:val="2"/>
        <w:rPr>
          <w:b/>
          <w:bCs/>
          <w:color w:val="auto"/>
        </w:rPr>
      </w:pPr>
      <w:bookmarkStart w:id="21" w:name="_Toc13106"/>
      <w:bookmarkStart w:id="22" w:name="_Toc7858"/>
      <w:bookmarkStart w:id="23" w:name="_Toc132363059"/>
      <w:bookmarkStart w:id="24" w:name="_Toc22456"/>
      <w:bookmarkStart w:id="25" w:name="_Toc16329"/>
      <w:bookmarkStart w:id="26" w:name="_Toc77007713"/>
      <w:r>
        <w:rPr>
          <w:b/>
          <w:bCs/>
          <w:color w:val="auto"/>
        </w:rPr>
        <w:t>规划背景</w:t>
      </w:r>
      <w:bookmarkEnd w:id="21"/>
      <w:bookmarkEnd w:id="22"/>
      <w:bookmarkEnd w:id="23"/>
      <w:bookmarkEnd w:id="24"/>
      <w:bookmarkEnd w:id="25"/>
      <w:bookmarkEnd w:id="26"/>
    </w:p>
    <w:p>
      <w:pPr>
        <w:pStyle w:val="21"/>
        <w:bidi w:val="0"/>
        <w:rPr>
          <w:rFonts w:hint="default"/>
          <w:color w:val="auto"/>
          <w:lang w:val="en-US" w:eastAsia="zh-CN"/>
        </w:rPr>
      </w:pPr>
      <w:r>
        <w:rPr>
          <w:rFonts w:hint="default"/>
          <w:b/>
          <w:bCs/>
          <w:color w:val="auto"/>
          <w:lang w:val="en-US" w:eastAsia="zh-CN"/>
        </w:rPr>
        <w:t>国家生态文明示范区建设持续推进</w:t>
      </w:r>
      <w:r>
        <w:rPr>
          <w:rFonts w:hint="eastAsia"/>
          <w:b/>
          <w:bCs/>
          <w:color w:val="auto"/>
          <w:lang w:val="en-US" w:eastAsia="zh-CN"/>
        </w:rPr>
        <w:t>。</w:t>
      </w:r>
      <w:r>
        <w:rPr>
          <w:rFonts w:hint="eastAsia"/>
          <w:color w:val="auto"/>
          <w:lang w:val="en-US" w:eastAsia="zh-CN"/>
        </w:rPr>
        <w:t>为牢固树立创新、协调、绿色、开放、共享的发展理念，深入贯彻落实党中央、国务院关于生态文明建设与生态文明体制改革的总体部署和习近平总书记重要指示批示精神。生态环境部先后制修订了《国家生态文明建设示范区建设指标》《国家生态文明建设示范区管理规程》《“绿水青山就是金山银山”实践创新基地建设管理规程（试行）》《国家生态文明建设示范区规划编制指南（试行）》，基本形成了规划先行、标准引领、达标创建、动态监管的建设模式。”2016 年8月~2019 年 1月，中共中央办公厅、国务院办公厅先后印发了《国家生态文明试验区（福建）实施方案》《国家生态文明试验区（江西）实施方案》《国家生态文明试验区（贵州）实施方案》和《国家生态文明试验区（海南）实施方案》，深入开展生态文明体制改革综合试验，建设国家生态文明试验区。福建、江西、贵州、海南4个国家生态文明试验区实施方案的获批，极大地调动和发挥了地方主动性和改革首创精神。</w:t>
      </w:r>
      <w:r>
        <w:rPr>
          <w:rFonts w:hint="default"/>
          <w:color w:val="auto"/>
          <w:lang w:eastAsia="zh-CN"/>
        </w:rPr>
        <w:t>为</w:t>
      </w:r>
      <w:r>
        <w:rPr>
          <w:rFonts w:hint="eastAsia"/>
          <w:color w:val="auto"/>
          <w:lang w:val="en-US" w:eastAsia="zh-CN"/>
        </w:rPr>
        <w:t>深入践行习近平生态文明思想，认真贯彻落实党中央、国务院关于加快生态文明建设有关决策部署，积极发挥试点示范的平台载体和典型引领作用，生态环境部已组织开展了七个批次国家生态文明建设示范市县建设和“绿水青山就是金山银山”实践创新基地建设活动，全国共有572个国家生态文明建设示范区和240个“绿水青山就是金山银山”实践创新基地，国家生态文明示范区建设稳步推进中。</w:t>
      </w:r>
    </w:p>
    <w:p>
      <w:pPr>
        <w:pStyle w:val="21"/>
        <w:bidi w:val="0"/>
        <w:rPr>
          <w:rFonts w:hint="default"/>
          <w:color w:val="auto"/>
          <w:lang w:val="en-US" w:eastAsia="zh-CN"/>
        </w:rPr>
      </w:pPr>
      <w:bookmarkStart w:id="27" w:name="_Toc14668"/>
      <w:bookmarkStart w:id="28" w:name="_Toc17565"/>
      <w:bookmarkStart w:id="29" w:name="_Toc12141"/>
      <w:bookmarkStart w:id="30" w:name="_Toc28020"/>
      <w:r>
        <w:rPr>
          <w:rFonts w:hint="default"/>
          <w:b/>
          <w:bCs/>
          <w:color w:val="auto"/>
          <w:lang w:val="en-US" w:eastAsia="zh-CN"/>
        </w:rPr>
        <w:t>江西省奋力谱写新时代生态文明建设新篇章</w:t>
      </w:r>
      <w:bookmarkEnd w:id="27"/>
      <w:bookmarkEnd w:id="28"/>
      <w:bookmarkEnd w:id="29"/>
      <w:bookmarkEnd w:id="30"/>
      <w:r>
        <w:rPr>
          <w:rFonts w:hint="eastAsia"/>
          <w:b/>
          <w:bCs/>
          <w:color w:val="auto"/>
          <w:lang w:val="en-US" w:eastAsia="zh-CN"/>
        </w:rPr>
        <w:t>。</w:t>
      </w:r>
      <w:r>
        <w:rPr>
          <w:rFonts w:hint="default"/>
          <w:color w:val="auto"/>
          <w:lang w:val="en-US" w:eastAsia="zh-CN"/>
        </w:rPr>
        <w:t>2014年11月，国家六部委批复《江西省生态文明先行示范区建设实施方案》，</w:t>
      </w:r>
      <w:r>
        <w:rPr>
          <w:rFonts w:hint="eastAsia"/>
          <w:color w:val="auto"/>
          <w:lang w:val="en-US" w:eastAsia="zh-CN"/>
        </w:rPr>
        <w:t>江西省</w:t>
      </w:r>
      <w:r>
        <w:rPr>
          <w:rFonts w:hint="default"/>
          <w:color w:val="auto"/>
          <w:lang w:val="en-US" w:eastAsia="zh-CN"/>
        </w:rPr>
        <w:t>成为首批全境列入生态文明先行示范区建设的省份之一。2015年</w:t>
      </w:r>
      <w:r>
        <w:rPr>
          <w:rFonts w:hint="eastAsia"/>
          <w:color w:val="auto"/>
          <w:lang w:val="en-US" w:eastAsia="zh-CN"/>
        </w:rPr>
        <w:t>1月</w:t>
      </w:r>
      <w:r>
        <w:rPr>
          <w:rFonts w:hint="default"/>
          <w:color w:val="auto"/>
          <w:lang w:val="en-US" w:eastAsia="zh-CN"/>
        </w:rPr>
        <w:t>，省十二届人大四次会议审议通过《关于大力推进生态文明先行示范区建设的决议》</w:t>
      </w:r>
      <w:r>
        <w:rPr>
          <w:rFonts w:hint="eastAsia"/>
          <w:color w:val="auto"/>
          <w:lang w:val="en-US" w:eastAsia="zh-CN"/>
        </w:rPr>
        <w:t>；同年</w:t>
      </w:r>
      <w:r>
        <w:rPr>
          <w:rFonts w:hint="default"/>
          <w:color w:val="auto"/>
          <w:lang w:val="en-US" w:eastAsia="zh-CN"/>
        </w:rPr>
        <w:t>省委、省政府出台了《关于建设生态文明先行示范区的实施意见》</w:t>
      </w:r>
      <w:r>
        <w:rPr>
          <w:rFonts w:hint="eastAsia"/>
          <w:color w:val="auto"/>
          <w:lang w:val="en-US" w:eastAsia="zh-CN"/>
        </w:rPr>
        <w:t>，确定6大体系、10大工程、60个项目包和208项建设任务，并分解落实到各地各部门，明确责任分工和时间节点。</w:t>
      </w:r>
      <w:r>
        <w:rPr>
          <w:rFonts w:hint="default"/>
          <w:color w:val="auto"/>
          <w:lang w:val="en-US" w:eastAsia="zh-CN"/>
        </w:rPr>
        <w:t>2017年6月，国家</w:t>
      </w:r>
      <w:r>
        <w:rPr>
          <w:rFonts w:hint="eastAsia"/>
          <w:color w:val="auto"/>
          <w:lang w:val="en-US" w:eastAsia="zh-CN"/>
        </w:rPr>
        <w:t>常务会</w:t>
      </w:r>
      <w:r>
        <w:rPr>
          <w:rFonts w:hint="default"/>
          <w:color w:val="auto"/>
          <w:lang w:val="en-US" w:eastAsia="zh-CN"/>
        </w:rPr>
        <w:t>审议通过《国家生态文明试验区（江西）实施方案》，确立了江西在全国生态文明建设的前列地位。2019年9月，江西省通过《江西省生态文明建设促进条例》</w:t>
      </w:r>
      <w:r>
        <w:rPr>
          <w:rFonts w:hint="eastAsia"/>
          <w:color w:val="auto"/>
          <w:lang w:val="en-US" w:eastAsia="zh-CN"/>
        </w:rPr>
        <w:t>，</w:t>
      </w:r>
      <w:r>
        <w:rPr>
          <w:rFonts w:hint="default"/>
          <w:color w:val="auto"/>
          <w:lang w:val="en-US" w:eastAsia="zh-CN"/>
        </w:rPr>
        <w:t>并于</w:t>
      </w:r>
      <w:r>
        <w:rPr>
          <w:rFonts w:hint="eastAsia"/>
          <w:color w:val="auto"/>
          <w:lang w:val="en-US" w:eastAsia="zh-CN"/>
        </w:rPr>
        <w:t>2020</w:t>
      </w:r>
      <w:r>
        <w:rPr>
          <w:rFonts w:hint="default"/>
          <w:color w:val="auto"/>
          <w:lang w:val="en-US" w:eastAsia="zh-CN"/>
        </w:rPr>
        <w:t>年1月1日起正式实施，同时确定每年6月为省生态文明宣传月。</w:t>
      </w:r>
      <w:r>
        <w:rPr>
          <w:rFonts w:hint="eastAsia"/>
          <w:color w:val="auto"/>
          <w:lang w:val="en-US" w:eastAsia="zh-CN"/>
        </w:rPr>
        <w:t>2023年7月，</w:t>
      </w:r>
      <w:r>
        <w:rPr>
          <w:rFonts w:hint="eastAsia"/>
          <w:color w:val="auto"/>
        </w:rPr>
        <w:t>省委十五届四次全会</w:t>
      </w:r>
      <w:r>
        <w:rPr>
          <w:rFonts w:hint="eastAsia"/>
          <w:color w:val="auto"/>
          <w:lang w:val="en-US" w:eastAsia="zh-CN"/>
        </w:rPr>
        <w:t>提出，打造国家生态文明建设高地，积极推动全面绿色转型，持续提升生态环境质量，加强生态系统保护修复，稳步推进碳达峰碳中和，加快探索生态产品价值实现机制。</w:t>
      </w:r>
    </w:p>
    <w:p>
      <w:pPr>
        <w:pStyle w:val="21"/>
        <w:bidi w:val="0"/>
        <w:rPr>
          <w:rFonts w:hint="eastAsia"/>
          <w:color w:val="auto"/>
          <w:lang w:val="en-US" w:eastAsia="zh-CN"/>
        </w:rPr>
      </w:pPr>
      <w:r>
        <w:rPr>
          <w:rFonts w:hint="eastAsia"/>
          <w:color w:val="auto"/>
          <w:lang w:val="en-US" w:eastAsia="zh-CN"/>
        </w:rPr>
        <w:t>多年来，江西省持续严守生态环境保护底线、积极推动生态文明实践探索，作为首批国家生态文明试验区的江西，始终牢记习近平总书记关于打造美丽中国“江西样板”的殷殷嘱托，坚决贯彻落实习近平总书记考察江西重要讲话精神，聚焦“作示范、勇争先”目标要求和“五个推进”重要要求，纵深推进国家生态文明试验区建设，扎实做好治山理水、显山露水文章，推动经济发展高质量和生态环境高颜值协同并进。</w:t>
      </w:r>
      <w:r>
        <w:rPr>
          <w:color w:val="auto"/>
        </w:rPr>
        <w:t>江西省政府连续8年向省人代会报告生态文明建设情况。全省各级建立党政主要领导为组长的生态文明建设推进体系，全省各地立足独特的资源禀赋和生态优势，积极引导并探索生态产品价值实现的路径方式和</w:t>
      </w:r>
      <w:r>
        <w:rPr>
          <w:rFonts w:hint="eastAsia"/>
          <w:color w:val="auto"/>
          <w:lang w:eastAsia="zh-CN"/>
        </w:rPr>
        <w:t>“</w:t>
      </w:r>
      <w:r>
        <w:rPr>
          <w:color w:val="auto"/>
        </w:rPr>
        <w:t>两山转化</w:t>
      </w:r>
      <w:r>
        <w:rPr>
          <w:rFonts w:hint="eastAsia"/>
          <w:color w:val="auto"/>
          <w:lang w:eastAsia="zh-CN"/>
        </w:rPr>
        <w:t>”</w:t>
      </w:r>
      <w:r>
        <w:rPr>
          <w:color w:val="auto"/>
        </w:rPr>
        <w:t>长效机制。</w:t>
      </w:r>
      <w:r>
        <w:rPr>
          <w:rFonts w:hint="eastAsia"/>
          <w:color w:val="auto"/>
          <w:lang w:val="en-US" w:eastAsia="zh-CN"/>
        </w:rPr>
        <w:t>加快推动生态文明共建、生态成果共享。深入推进城乡环境综合整治，城市建成区绿地率保持全国前列。</w:t>
      </w:r>
    </w:p>
    <w:p>
      <w:pPr>
        <w:pStyle w:val="21"/>
        <w:bidi w:val="0"/>
        <w:rPr>
          <w:b/>
          <w:bCs/>
          <w:color w:val="auto"/>
        </w:rPr>
      </w:pPr>
      <w:r>
        <w:rPr>
          <w:rFonts w:hint="default"/>
          <w:b/>
          <w:bCs/>
          <w:color w:val="auto"/>
          <w:lang w:eastAsia="zh-CN"/>
        </w:rPr>
        <w:t>红谷滩</w:t>
      </w:r>
      <w:r>
        <w:rPr>
          <w:rFonts w:hint="eastAsia"/>
          <w:b/>
          <w:bCs/>
          <w:color w:val="auto"/>
          <w:lang w:val="en-US" w:eastAsia="zh-CN"/>
        </w:rPr>
        <w:t>区</w:t>
      </w:r>
      <w:r>
        <w:rPr>
          <w:rFonts w:hint="default"/>
          <w:b/>
          <w:bCs/>
          <w:color w:val="auto"/>
          <w:lang w:val="en-US" w:eastAsia="zh-CN"/>
        </w:rPr>
        <w:t>积极推进生态</w:t>
      </w:r>
      <w:r>
        <w:rPr>
          <w:rFonts w:hint="eastAsia"/>
          <w:b/>
          <w:bCs/>
          <w:color w:val="auto"/>
          <w:lang w:val="en-US" w:eastAsia="zh-CN"/>
        </w:rPr>
        <w:t>文明</w:t>
      </w:r>
      <w:r>
        <w:rPr>
          <w:rFonts w:hint="default"/>
          <w:b/>
          <w:bCs/>
          <w:color w:val="auto"/>
          <w:lang w:val="en-US" w:eastAsia="zh-CN"/>
        </w:rPr>
        <w:t>建设</w:t>
      </w:r>
      <w:r>
        <w:rPr>
          <w:rFonts w:hint="eastAsia"/>
          <w:b/>
          <w:bCs/>
          <w:color w:val="auto"/>
          <w:lang w:val="en-US" w:eastAsia="zh-CN"/>
        </w:rPr>
        <w:t>。</w:t>
      </w:r>
      <w:r>
        <w:rPr>
          <w:rFonts w:hint="default"/>
          <w:color w:val="auto"/>
          <w:lang w:eastAsia="zh-CN"/>
        </w:rPr>
        <w:t>红谷滩</w:t>
      </w:r>
      <w:r>
        <w:rPr>
          <w:rFonts w:hint="eastAsia"/>
          <w:color w:val="auto"/>
          <w:lang w:val="en-US" w:eastAsia="zh-CN"/>
        </w:rPr>
        <w:t>区始终深入践行“绿水青山就是金山银山”发展理念，正确处理生态环境保护与经济社会发展关系，守住生态保护红线、把好环境质量底线、用好资源利用上限。把生态文明建设放在突出的战略位置，融入经济建设、政治建设、文化建设、社会建设各方面和全过程，指导国土空间开发格局优化、生态经济与产业、生态环保基础设施与能力建设、生态文化制度建设等领域协同发展。</w:t>
      </w:r>
      <w:r>
        <w:rPr>
          <w:rFonts w:hint="eastAsia"/>
          <w:color w:val="auto"/>
        </w:rPr>
        <w:t>深入打好蓝天、碧水、净土保卫战</w:t>
      </w:r>
      <w:r>
        <w:rPr>
          <w:rFonts w:hint="eastAsia"/>
          <w:color w:val="auto"/>
          <w:lang w:eastAsia="zh-CN"/>
        </w:rPr>
        <w:t>，</w:t>
      </w:r>
      <w:r>
        <w:rPr>
          <w:rFonts w:hint="eastAsia"/>
          <w:color w:val="auto"/>
        </w:rPr>
        <w:t>抓细抓实河长制、湖长制、林长制各项工作</w:t>
      </w:r>
      <w:r>
        <w:rPr>
          <w:rFonts w:hint="eastAsia"/>
          <w:color w:val="auto"/>
          <w:lang w:eastAsia="zh-CN"/>
        </w:rPr>
        <w:t>，出台污染天气应急预案、突发环境事件应急预案。</w:t>
      </w:r>
      <w:r>
        <w:rPr>
          <w:rFonts w:hint="eastAsia"/>
          <w:color w:val="auto"/>
        </w:rPr>
        <w:t>2022年，红谷滩区空气优良率为87.4%，PM</w:t>
      </w:r>
      <w:r>
        <w:rPr>
          <w:rFonts w:hint="eastAsia"/>
          <w:color w:val="auto"/>
          <w:vertAlign w:val="subscript"/>
        </w:rPr>
        <w:t>2.5</w:t>
      </w:r>
      <w:r>
        <w:rPr>
          <w:rFonts w:hint="eastAsia"/>
          <w:color w:val="auto"/>
        </w:rPr>
        <w:t>平均浓度30.7微克/立方米。推进424个排水单元</w:t>
      </w:r>
      <w:r>
        <w:rPr>
          <w:rFonts w:hint="eastAsia"/>
          <w:color w:val="auto"/>
          <w:lang w:eastAsia="zh-CN"/>
        </w:rPr>
        <w:t>开展</w:t>
      </w:r>
      <w:r>
        <w:rPr>
          <w:rFonts w:hint="eastAsia"/>
          <w:color w:val="auto"/>
        </w:rPr>
        <w:t>整治，</w:t>
      </w:r>
      <w:r>
        <w:rPr>
          <w:rFonts w:hint="eastAsia"/>
          <w:color w:val="auto"/>
          <w:lang w:eastAsia="zh-CN"/>
        </w:rPr>
        <w:t>前湖水系</w:t>
      </w:r>
      <w:r>
        <w:rPr>
          <w:rFonts w:hint="eastAsia"/>
          <w:color w:val="auto"/>
        </w:rPr>
        <w:t>提前完成“一年内大见成效”的治理目标。</w:t>
      </w:r>
      <w:r>
        <w:rPr>
          <w:rFonts w:hint="eastAsia"/>
          <w:color w:val="auto"/>
          <w:lang w:eastAsia="zh-CN"/>
        </w:rPr>
        <w:t>海绵城市建设取得新成效，“河畅、水清、岸绿、景美”新画卷徐徐铺开。</w:t>
      </w:r>
      <w:r>
        <w:rPr>
          <w:rFonts w:hint="eastAsia"/>
          <w:color w:val="auto"/>
          <w:lang w:val="en-US" w:eastAsia="zh-CN"/>
        </w:rPr>
        <w:t>红谷滩区</w:t>
      </w:r>
      <w:r>
        <w:rPr>
          <w:rFonts w:hint="default"/>
          <w:color w:val="auto"/>
          <w:lang w:val="en-US" w:eastAsia="zh-CN"/>
        </w:rPr>
        <w:t>委、</w:t>
      </w:r>
      <w:r>
        <w:rPr>
          <w:rFonts w:hint="eastAsia"/>
          <w:color w:val="auto"/>
          <w:lang w:val="en-US" w:eastAsia="zh-CN"/>
        </w:rPr>
        <w:t>区</w:t>
      </w:r>
      <w:r>
        <w:rPr>
          <w:rFonts w:hint="default"/>
          <w:color w:val="auto"/>
          <w:lang w:val="en-US" w:eastAsia="zh-CN"/>
        </w:rPr>
        <w:t>政府积极开展</w:t>
      </w:r>
      <w:r>
        <w:rPr>
          <w:rFonts w:hint="eastAsia"/>
          <w:color w:val="auto"/>
          <w:lang w:val="en-US" w:eastAsia="zh-CN"/>
        </w:rPr>
        <w:t>江西省生态文明建设示范县</w:t>
      </w:r>
      <w:r>
        <w:rPr>
          <w:rFonts w:hint="default"/>
          <w:color w:val="auto"/>
          <w:lang w:val="en-US" w:eastAsia="zh-CN"/>
        </w:rPr>
        <w:t>、国家生态文明建设示范区创建工作，并委托</w:t>
      </w:r>
      <w:r>
        <w:rPr>
          <w:rFonts w:hint="eastAsia"/>
          <w:color w:val="auto"/>
          <w:lang w:val="en-US" w:eastAsia="zh-CN"/>
        </w:rPr>
        <w:t>江西南大融汇环境技术有限公司</w:t>
      </w:r>
      <w:r>
        <w:rPr>
          <w:rFonts w:hint="default"/>
          <w:color w:val="auto"/>
          <w:lang w:val="en-US" w:eastAsia="zh-CN"/>
        </w:rPr>
        <w:t>编制《</w:t>
      </w:r>
      <w:r>
        <w:rPr>
          <w:rFonts w:hint="eastAsia"/>
          <w:color w:val="auto"/>
          <w:lang w:val="en-US" w:eastAsia="zh-CN"/>
        </w:rPr>
        <w:t>南昌市红谷滩区生态文明建设示范区规划（2023-2030年）</w:t>
      </w:r>
      <w:r>
        <w:rPr>
          <w:rFonts w:hint="default"/>
          <w:color w:val="auto"/>
          <w:lang w:val="en-US" w:eastAsia="zh-CN"/>
        </w:rPr>
        <w:t>》，为</w:t>
      </w:r>
      <w:r>
        <w:rPr>
          <w:rFonts w:hint="eastAsia"/>
          <w:color w:val="auto"/>
          <w:lang w:val="en-US" w:eastAsia="zh-CN"/>
        </w:rPr>
        <w:t>全区</w:t>
      </w:r>
      <w:r>
        <w:rPr>
          <w:rFonts w:hint="default"/>
          <w:color w:val="auto"/>
          <w:lang w:val="en-US" w:eastAsia="zh-CN"/>
        </w:rPr>
        <w:t>生态文明建设提供指导。</w:t>
      </w:r>
      <w:bookmarkStart w:id="31" w:name="_Toc77007714"/>
      <w:bookmarkStart w:id="32" w:name="_Toc18267"/>
      <w:bookmarkStart w:id="33" w:name="_Toc2040"/>
      <w:bookmarkStart w:id="34" w:name="_Toc132363060"/>
      <w:bookmarkStart w:id="35" w:name="_Toc16094"/>
      <w:r>
        <w:rPr>
          <w:b/>
          <w:bCs/>
          <w:color w:val="auto"/>
        </w:rPr>
        <w:br w:type="page"/>
      </w:r>
      <w:bookmarkStart w:id="36" w:name="_Toc19499"/>
      <w:bookmarkEnd w:id="36"/>
    </w:p>
    <w:p>
      <w:pPr>
        <w:pStyle w:val="18"/>
        <w:keepNext w:val="0"/>
        <w:keepLines w:val="0"/>
        <w:pageBreakBefore w:val="0"/>
        <w:widowControl/>
        <w:numPr>
          <w:ilvl w:val="0"/>
          <w:numId w:val="6"/>
        </w:numPr>
        <w:kinsoku/>
        <w:wordWrap/>
        <w:overflowPunct/>
        <w:topLinePunct w:val="0"/>
        <w:autoSpaceDE/>
        <w:autoSpaceDN/>
        <w:bidi w:val="0"/>
        <w:adjustRightInd/>
        <w:snapToGrid/>
        <w:ind w:left="0" w:leftChars="0" w:firstLine="562" w:firstLineChars="200"/>
        <w:textAlignment w:val="auto"/>
        <w:outlineLvl w:val="2"/>
        <w:rPr>
          <w:b/>
          <w:bCs/>
          <w:color w:val="auto"/>
        </w:rPr>
      </w:pPr>
      <w:bookmarkStart w:id="37" w:name="_Toc3518"/>
      <w:r>
        <w:rPr>
          <w:b/>
          <w:bCs/>
          <w:color w:val="auto"/>
        </w:rPr>
        <w:t>重大意义</w:t>
      </w:r>
      <w:bookmarkEnd w:id="31"/>
      <w:bookmarkEnd w:id="32"/>
      <w:bookmarkEnd w:id="33"/>
      <w:bookmarkEnd w:id="34"/>
      <w:bookmarkEnd w:id="35"/>
      <w:bookmarkEnd w:id="37"/>
    </w:p>
    <w:p>
      <w:pPr>
        <w:pStyle w:val="21"/>
        <w:bidi w:val="0"/>
        <w:rPr>
          <w:rFonts w:hint="default"/>
          <w:color w:val="auto"/>
          <w:lang w:val="en-US" w:eastAsia="zh-CN"/>
        </w:rPr>
      </w:pPr>
      <w:bookmarkStart w:id="38" w:name="_Toc6514"/>
      <w:bookmarkStart w:id="39" w:name="_Toc4731"/>
      <w:bookmarkStart w:id="40" w:name="_Toc14812"/>
      <w:r>
        <w:rPr>
          <w:rFonts w:hint="default"/>
          <w:b/>
          <w:bCs/>
          <w:color w:val="auto"/>
          <w:lang w:val="en-US" w:eastAsia="zh-CN"/>
        </w:rPr>
        <w:t>落实国家生态文明战略部署的重要举措</w:t>
      </w:r>
      <w:bookmarkEnd w:id="38"/>
      <w:bookmarkEnd w:id="39"/>
      <w:bookmarkEnd w:id="40"/>
      <w:r>
        <w:rPr>
          <w:rFonts w:hint="eastAsia"/>
          <w:b/>
          <w:bCs/>
          <w:color w:val="auto"/>
          <w:lang w:val="en-US" w:eastAsia="zh-CN"/>
        </w:rPr>
        <w:t>。</w:t>
      </w:r>
      <w:r>
        <w:rPr>
          <w:rFonts w:hint="default"/>
          <w:color w:val="auto"/>
          <w:lang w:val="en-US" w:eastAsia="zh-CN"/>
        </w:rPr>
        <w:t>党的十八大以来，以习近平同志为核心的党中央谋划开展了一系列根本性、开创性、长远性工作，推动我国生态文明建设不断迈上新台阶，人民群众的获得感不断提高，</w:t>
      </w:r>
      <w:r>
        <w:rPr>
          <w:rFonts w:hint="eastAsia"/>
          <w:color w:val="auto"/>
          <w:lang w:val="en-US" w:eastAsia="zh-CN"/>
        </w:rPr>
        <w:t>“</w:t>
      </w:r>
      <w:r>
        <w:rPr>
          <w:rFonts w:hint="default"/>
          <w:color w:val="auto"/>
          <w:lang w:val="en-US" w:eastAsia="zh-CN"/>
        </w:rPr>
        <w:t>美丽中国</w:t>
      </w:r>
      <w:r>
        <w:rPr>
          <w:rFonts w:hint="eastAsia"/>
          <w:color w:val="auto"/>
          <w:lang w:val="en-US" w:eastAsia="zh-CN"/>
        </w:rPr>
        <w:t>”</w:t>
      </w:r>
      <w:r>
        <w:rPr>
          <w:rFonts w:hint="default"/>
          <w:color w:val="auto"/>
          <w:lang w:val="en-US" w:eastAsia="zh-CN"/>
        </w:rPr>
        <w:t>成为中华民族追求的新目标。习近平总书记着眼于世界文明形态的演进、中华民族的永续发展、中国共产党的宗旨责任、人民群众的民生福祉以及构建人类命运共同体的宏大视野，把生态文明上升到人类文明形态的高度，把生态文明上升到中华民族伟大复兴和中华民族永续发展的高度，把生态文明建设作为我们党贯彻全心全意为人民服务宗旨的政治责任，把生态文明建设作为满足人民群众对美好生活需要的重要内容，把生态文明建设作为中国走进世界舞台中央，为世界发展提供中国道路、中国智慧、中国方案的重要内容。正是基于对生态文明建设重要意义的深刻理解，我们党把</w:t>
      </w:r>
      <w:r>
        <w:rPr>
          <w:rFonts w:hint="eastAsia"/>
          <w:color w:val="auto"/>
          <w:lang w:val="en-US" w:eastAsia="zh-CN"/>
        </w:rPr>
        <w:t>“</w:t>
      </w:r>
      <w:r>
        <w:rPr>
          <w:rFonts w:hint="default"/>
          <w:color w:val="auto"/>
          <w:lang w:val="en-US" w:eastAsia="zh-CN"/>
        </w:rPr>
        <w:t>生态文明建设</w:t>
      </w:r>
      <w:r>
        <w:rPr>
          <w:rFonts w:hint="eastAsia"/>
          <w:color w:val="auto"/>
          <w:lang w:val="en-US" w:eastAsia="zh-CN"/>
        </w:rPr>
        <w:t>”</w:t>
      </w:r>
      <w:r>
        <w:rPr>
          <w:rFonts w:hint="default"/>
          <w:color w:val="auto"/>
          <w:lang w:val="en-US" w:eastAsia="zh-CN"/>
        </w:rPr>
        <w:t>写入党章并推动全国人大把生态文明建设写入宪法，成为我们党和国家最根本的思想遵循和行动指南</w:t>
      </w:r>
      <w:r>
        <w:rPr>
          <w:rFonts w:hint="eastAsia"/>
          <w:color w:val="auto"/>
          <w:lang w:val="en-US" w:eastAsia="zh-CN"/>
        </w:rPr>
        <w:t>。</w:t>
      </w:r>
      <w:r>
        <w:rPr>
          <w:rFonts w:hint="default"/>
          <w:color w:val="auto"/>
          <w:lang w:val="en-US" w:eastAsia="zh-CN"/>
        </w:rPr>
        <w:t>生态文明建设作为中国特色社会主义事业的重要内容</w:t>
      </w:r>
      <w:r>
        <w:rPr>
          <w:rFonts w:hint="eastAsia"/>
          <w:color w:val="auto"/>
          <w:lang w:val="en-US" w:eastAsia="zh-CN"/>
        </w:rPr>
        <w:t>，</w:t>
      </w:r>
      <w:r>
        <w:rPr>
          <w:rFonts w:hint="default"/>
          <w:color w:val="auto"/>
          <w:lang w:val="en-US" w:eastAsia="zh-CN"/>
        </w:rPr>
        <w:t>关系人民福祉关乎民族未来，事关</w:t>
      </w:r>
      <w:r>
        <w:rPr>
          <w:rFonts w:hint="eastAsia"/>
          <w:color w:val="auto"/>
          <w:lang w:val="en-US" w:eastAsia="zh-CN"/>
        </w:rPr>
        <w:t>“</w:t>
      </w:r>
      <w:r>
        <w:rPr>
          <w:rFonts w:hint="default"/>
          <w:color w:val="auto"/>
          <w:lang w:val="en-US" w:eastAsia="zh-CN"/>
        </w:rPr>
        <w:t>两个一百年</w:t>
      </w:r>
      <w:r>
        <w:rPr>
          <w:rFonts w:hint="eastAsia"/>
          <w:color w:val="auto"/>
          <w:lang w:val="en-US" w:eastAsia="zh-CN"/>
        </w:rPr>
        <w:t>”</w:t>
      </w:r>
      <w:r>
        <w:rPr>
          <w:rFonts w:hint="default"/>
          <w:color w:val="auto"/>
          <w:lang w:val="en-US" w:eastAsia="zh-CN"/>
        </w:rPr>
        <w:t>奋斗目标和中华民族伟大复兴中国梦的实现。加快推进生态文明建设就是加快转变经济发展方式、提高发展质量和效益的内在要求，是坚持以人为本、促进社会和谐的必然选择，是全面建成小康社会、实现中华民族伟大复兴中国梦的时代抉择，是积极应对生态环境问题、社会发展问题、维护生态安全的重大举措，具有极大重要性和紧迫性。因此，持续推动生态文明建设，是</w:t>
      </w:r>
      <w:r>
        <w:rPr>
          <w:rFonts w:hint="eastAsia"/>
          <w:color w:val="auto"/>
          <w:lang w:val="en-US" w:eastAsia="zh-CN"/>
        </w:rPr>
        <w:t>红谷滩区</w:t>
      </w:r>
      <w:r>
        <w:rPr>
          <w:rFonts w:hint="default"/>
          <w:color w:val="auto"/>
          <w:lang w:val="en-US" w:eastAsia="zh-CN"/>
        </w:rPr>
        <w:t>全面贯彻落实党的</w:t>
      </w:r>
      <w:r>
        <w:rPr>
          <w:rFonts w:hint="eastAsia"/>
          <w:color w:val="auto"/>
          <w:lang w:val="en-US" w:eastAsia="zh-CN"/>
        </w:rPr>
        <w:t>二十大、二十届一中、二中全会</w:t>
      </w:r>
      <w:r>
        <w:rPr>
          <w:rFonts w:hint="default"/>
          <w:color w:val="auto"/>
          <w:lang w:val="en-US" w:eastAsia="zh-CN"/>
        </w:rPr>
        <w:t>精神</w:t>
      </w:r>
      <w:r>
        <w:rPr>
          <w:rFonts w:hint="eastAsia"/>
          <w:color w:val="auto"/>
          <w:lang w:val="en-US" w:eastAsia="zh-CN"/>
        </w:rPr>
        <w:t>，</w:t>
      </w:r>
      <w:r>
        <w:rPr>
          <w:rFonts w:hint="default"/>
          <w:color w:val="auto"/>
          <w:lang w:val="en-US" w:eastAsia="zh-CN"/>
        </w:rPr>
        <w:t>全面深入践行习近平生态文明思想的重要举措</w:t>
      </w:r>
      <w:r>
        <w:rPr>
          <w:rFonts w:hint="eastAsia"/>
          <w:color w:val="auto"/>
          <w:lang w:val="en-US" w:eastAsia="zh-CN"/>
        </w:rPr>
        <w:t>，</w:t>
      </w:r>
      <w:r>
        <w:rPr>
          <w:rFonts w:hint="default"/>
          <w:color w:val="auto"/>
          <w:lang w:val="en-US" w:eastAsia="zh-CN"/>
        </w:rPr>
        <w:t>也是</w:t>
      </w:r>
      <w:r>
        <w:rPr>
          <w:rFonts w:hint="eastAsia"/>
          <w:color w:val="auto"/>
          <w:lang w:val="en-US" w:eastAsia="zh-CN"/>
        </w:rPr>
        <w:t>红谷滩区</w:t>
      </w:r>
      <w:r>
        <w:rPr>
          <w:rFonts w:hint="default"/>
          <w:color w:val="auto"/>
          <w:lang w:val="en-US" w:eastAsia="zh-CN"/>
        </w:rPr>
        <w:t>不断增进人民群众日益增长的美好生活需要的总抓手。</w:t>
      </w:r>
    </w:p>
    <w:p>
      <w:pPr>
        <w:pStyle w:val="21"/>
        <w:bidi w:val="0"/>
        <w:rPr>
          <w:rFonts w:hint="default"/>
          <w:color w:val="auto"/>
        </w:rPr>
      </w:pPr>
      <w:bookmarkStart w:id="41" w:name="_Toc23882"/>
      <w:bookmarkStart w:id="42" w:name="_Toc19010"/>
      <w:bookmarkStart w:id="43" w:name="_Toc28580"/>
      <w:r>
        <w:rPr>
          <w:rFonts w:hint="default"/>
          <w:b/>
          <w:bCs/>
          <w:color w:val="auto"/>
          <w:lang w:val="en-US" w:eastAsia="zh-CN"/>
        </w:rPr>
        <w:t>建设国家生态文明试验区的重要支撑</w:t>
      </w:r>
      <w:bookmarkEnd w:id="41"/>
      <w:bookmarkEnd w:id="42"/>
      <w:bookmarkEnd w:id="43"/>
      <w:r>
        <w:rPr>
          <w:rFonts w:hint="eastAsia"/>
          <w:b/>
          <w:bCs/>
          <w:color w:val="auto"/>
          <w:lang w:val="en-US" w:eastAsia="zh-CN"/>
        </w:rPr>
        <w:t>。</w:t>
      </w:r>
      <w:r>
        <w:rPr>
          <w:rFonts w:hint="default"/>
          <w:color w:val="auto"/>
          <w:lang w:val="en-US" w:eastAsia="zh-CN"/>
        </w:rPr>
        <w:t>2015 年 3月，在参加十二届全国人大三次会议江西代表团审议时，习近平总书记殷切嘱托，要像保护眼睛一样保护生态环境，像对待生命一样对待生态环境，要求江西走出一条经济发展和生态文明水平提高相辅相成、相得益彰的路子。2016年2月，习近平总书记在江西</w:t>
      </w:r>
      <w:r>
        <w:rPr>
          <w:rFonts w:hint="eastAsia"/>
          <w:color w:val="auto"/>
          <w:lang w:val="en-US" w:eastAsia="zh-CN"/>
        </w:rPr>
        <w:t>考察</w:t>
      </w:r>
      <w:r>
        <w:rPr>
          <w:rFonts w:hint="default"/>
          <w:color w:val="auto"/>
          <w:lang w:val="en-US" w:eastAsia="zh-CN"/>
        </w:rPr>
        <w:t>时指出:绿色生态是江西最大财富、最大优势、最大品牌，</w:t>
      </w:r>
      <w:r>
        <w:rPr>
          <w:rFonts w:hint="eastAsia"/>
          <w:color w:val="auto"/>
          <w:lang w:val="en-US" w:eastAsia="zh-CN"/>
        </w:rPr>
        <w:t>一</w:t>
      </w:r>
      <w:r>
        <w:rPr>
          <w:rFonts w:hint="default"/>
          <w:color w:val="auto"/>
          <w:lang w:val="en-US" w:eastAsia="zh-CN"/>
        </w:rPr>
        <w:t>定要保护好。2019 年 5月，习近平总书记在江西时再次强调，要加快构建生态文明体系，做好治山理水、显山露水的文章，打造美丽中国</w:t>
      </w:r>
      <w:r>
        <w:rPr>
          <w:rFonts w:hint="eastAsia"/>
          <w:color w:val="auto"/>
          <w:lang w:val="en-US" w:eastAsia="zh-CN"/>
        </w:rPr>
        <w:t>“</w:t>
      </w:r>
      <w:r>
        <w:rPr>
          <w:rFonts w:hint="default"/>
          <w:color w:val="auto"/>
          <w:lang w:val="en-US" w:eastAsia="zh-CN"/>
        </w:rPr>
        <w:t>江西样板</w:t>
      </w:r>
      <w:r>
        <w:rPr>
          <w:rFonts w:hint="eastAsia"/>
          <w:color w:val="auto"/>
          <w:lang w:val="en-US" w:eastAsia="zh-CN"/>
        </w:rPr>
        <w:t>”</w:t>
      </w:r>
      <w:r>
        <w:rPr>
          <w:rFonts w:hint="default"/>
          <w:color w:val="auto"/>
          <w:lang w:val="en-US" w:eastAsia="zh-CN"/>
        </w:rPr>
        <w:t>。江西省作为全国首批国家生态文明试验区之一，以进一步提升生态环境质量、增强人民群众获得感为导向，以机制创新、制度供给、模式探索为重点，筑牢生态文明制度</w:t>
      </w:r>
      <w:r>
        <w:rPr>
          <w:rFonts w:hint="eastAsia"/>
          <w:color w:val="auto"/>
          <w:lang w:val="en-US" w:eastAsia="zh-CN"/>
        </w:rPr>
        <w:t>“</w:t>
      </w:r>
      <w:r>
        <w:rPr>
          <w:rFonts w:hint="default"/>
          <w:color w:val="auto"/>
          <w:lang w:val="en-US" w:eastAsia="zh-CN"/>
        </w:rPr>
        <w:t>四梁八柱</w:t>
      </w:r>
      <w:r>
        <w:rPr>
          <w:rFonts w:hint="eastAsia"/>
          <w:color w:val="auto"/>
          <w:lang w:val="en-US" w:eastAsia="zh-CN"/>
        </w:rPr>
        <w:t>”</w:t>
      </w:r>
      <w:r>
        <w:rPr>
          <w:rFonts w:hint="default"/>
          <w:color w:val="auto"/>
          <w:lang w:val="en-US" w:eastAsia="zh-CN"/>
        </w:rPr>
        <w:t>，培育绿色发展新动能，开辟绿色富省、绿色惠民新路径，构建生态文明领域治理体系和治理能力现代化新格局。</w:t>
      </w:r>
      <w:r>
        <w:rPr>
          <w:rFonts w:hint="eastAsia"/>
          <w:color w:val="auto"/>
          <w:lang w:val="en-US" w:eastAsia="zh-CN"/>
        </w:rPr>
        <w:t>红谷滩区</w:t>
      </w:r>
      <w:r>
        <w:rPr>
          <w:rFonts w:hint="default"/>
          <w:color w:val="auto"/>
          <w:lang w:val="en-US" w:eastAsia="zh-CN"/>
        </w:rPr>
        <w:t>持续推进生态文明建设</w:t>
      </w:r>
      <w:r>
        <w:rPr>
          <w:rFonts w:hint="eastAsia"/>
          <w:color w:val="auto"/>
          <w:lang w:val="en-US" w:eastAsia="zh-CN"/>
        </w:rPr>
        <w:t>，</w:t>
      </w:r>
      <w:r>
        <w:rPr>
          <w:rFonts w:hint="default"/>
          <w:color w:val="auto"/>
          <w:lang w:val="en-US" w:eastAsia="zh-CN"/>
        </w:rPr>
        <w:t>有助于</w:t>
      </w:r>
      <w:r>
        <w:rPr>
          <w:rFonts w:hint="default"/>
          <w:color w:val="auto"/>
          <w:highlight w:val="none"/>
          <w:lang w:val="en-US" w:eastAsia="zh-CN"/>
        </w:rPr>
        <w:t>坚持</w:t>
      </w:r>
      <w:r>
        <w:rPr>
          <w:rFonts w:hint="eastAsia"/>
          <w:color w:val="auto"/>
          <w:highlight w:val="none"/>
          <w:lang w:val="en-US" w:eastAsia="zh-CN"/>
        </w:rPr>
        <w:t>落实“</w:t>
      </w:r>
      <w:r>
        <w:rPr>
          <w:rFonts w:hint="default"/>
          <w:color w:val="auto"/>
          <w:highlight w:val="none"/>
          <w:lang w:val="en-US" w:eastAsia="zh-CN"/>
        </w:rPr>
        <w:t>绿水青山就是金山银山</w:t>
      </w:r>
      <w:r>
        <w:rPr>
          <w:rFonts w:hint="eastAsia"/>
          <w:color w:val="auto"/>
          <w:highlight w:val="none"/>
          <w:lang w:val="en-US" w:eastAsia="zh-CN"/>
        </w:rPr>
        <w:t>”的</w:t>
      </w:r>
      <w:r>
        <w:rPr>
          <w:rFonts w:hint="default"/>
          <w:color w:val="auto"/>
          <w:highlight w:val="none"/>
          <w:lang w:val="en-US" w:eastAsia="zh-CN"/>
        </w:rPr>
        <w:t>绿色发展理念</w:t>
      </w:r>
      <w:r>
        <w:rPr>
          <w:rFonts w:hint="eastAsia"/>
          <w:color w:val="auto"/>
          <w:lang w:val="en-US" w:eastAsia="zh-CN"/>
        </w:rPr>
        <w:t>，</w:t>
      </w:r>
      <w:r>
        <w:rPr>
          <w:rFonts w:hint="default"/>
          <w:color w:val="auto"/>
          <w:lang w:val="en-US" w:eastAsia="zh-CN"/>
        </w:rPr>
        <w:t>夯实区域生态本底，推动区域经济转型绿色发展，为打造美丽中国</w:t>
      </w:r>
      <w:r>
        <w:rPr>
          <w:rFonts w:hint="eastAsia"/>
          <w:color w:val="auto"/>
          <w:lang w:val="en-US" w:eastAsia="zh-CN"/>
        </w:rPr>
        <w:t>“</w:t>
      </w:r>
      <w:r>
        <w:rPr>
          <w:rFonts w:hint="default"/>
          <w:color w:val="auto"/>
          <w:lang w:val="en-US" w:eastAsia="zh-CN"/>
        </w:rPr>
        <w:t>江西</w:t>
      </w:r>
      <w:r>
        <w:rPr>
          <w:rFonts w:hint="eastAsia"/>
          <w:color w:val="auto"/>
          <w:lang w:val="en-US" w:eastAsia="zh-CN"/>
        </w:rPr>
        <w:t>样板”贡献红谷滩力量</w:t>
      </w:r>
      <w:r>
        <w:rPr>
          <w:rFonts w:hint="default"/>
          <w:color w:val="auto"/>
          <w:lang w:val="en-US" w:eastAsia="zh-CN"/>
        </w:rPr>
        <w:t>。</w:t>
      </w:r>
    </w:p>
    <w:p>
      <w:pPr>
        <w:pStyle w:val="20"/>
        <w:numPr>
          <w:ilvl w:val="1"/>
          <w:numId w:val="0"/>
        </w:numPr>
        <w:bidi w:val="0"/>
        <w:ind w:leftChars="0"/>
        <w:rPr>
          <w:rFonts w:hint="eastAsia" w:ascii="仿宋" w:hAnsi="仿宋" w:eastAsia="仿宋" w:cs="仿宋"/>
          <w:color w:val="auto"/>
          <w:lang w:val="en-US" w:eastAsia="zh-CN"/>
        </w:rPr>
      </w:pPr>
      <w:bookmarkStart w:id="44" w:name="_Toc26575"/>
      <w:bookmarkStart w:id="45" w:name="_Toc7402"/>
      <w:bookmarkStart w:id="46" w:name="_Toc17535"/>
      <w:bookmarkStart w:id="47" w:name="_Toc961"/>
      <w:r>
        <w:rPr>
          <w:rFonts w:hint="eastAsia" w:ascii="仿宋" w:hAnsi="仿宋" w:eastAsia="仿宋" w:cs="仿宋"/>
          <w:color w:val="auto"/>
          <w:lang w:val="en-US" w:eastAsia="zh-CN"/>
        </w:rPr>
        <w:t>（二）工作基础</w:t>
      </w:r>
      <w:bookmarkEnd w:id="44"/>
      <w:bookmarkEnd w:id="45"/>
      <w:bookmarkEnd w:id="46"/>
      <w:bookmarkEnd w:id="47"/>
    </w:p>
    <w:p>
      <w:pPr>
        <w:pStyle w:val="18"/>
        <w:keepNext w:val="0"/>
        <w:keepLines w:val="0"/>
        <w:pageBreakBefore w:val="0"/>
        <w:widowControl/>
        <w:numPr>
          <w:ilvl w:val="0"/>
          <w:numId w:val="7"/>
        </w:numPr>
        <w:kinsoku/>
        <w:wordWrap/>
        <w:overflowPunct/>
        <w:topLinePunct w:val="0"/>
        <w:autoSpaceDE/>
        <w:autoSpaceDN/>
        <w:bidi w:val="0"/>
        <w:adjustRightInd/>
        <w:snapToGrid/>
        <w:ind w:left="0" w:leftChars="0" w:firstLine="562" w:firstLineChars="200"/>
        <w:textAlignment w:val="auto"/>
        <w:outlineLvl w:val="2"/>
        <w:rPr>
          <w:rFonts w:hint="eastAsia"/>
          <w:b/>
          <w:bCs/>
          <w:color w:val="auto"/>
          <w:lang w:eastAsia="zh-CN"/>
        </w:rPr>
      </w:pPr>
      <w:bookmarkStart w:id="48" w:name="_Toc26183"/>
      <w:bookmarkStart w:id="49" w:name="_Toc17522"/>
      <w:r>
        <w:rPr>
          <w:rFonts w:hint="eastAsia"/>
          <w:b/>
          <w:bCs/>
          <w:color w:val="auto"/>
          <w:lang w:eastAsia="zh-CN"/>
        </w:rPr>
        <w:t>地理区位条件优越，旅游资源丰厚</w:t>
      </w:r>
      <w:bookmarkEnd w:id="48"/>
      <w:bookmarkEnd w:id="49"/>
    </w:p>
    <w:p>
      <w:pPr>
        <w:pStyle w:val="18"/>
        <w:keepNext w:val="0"/>
        <w:keepLines w:val="0"/>
        <w:pageBreakBefore w:val="0"/>
        <w:widowControl/>
        <w:numPr>
          <w:ilvl w:val="0"/>
          <w:numId w:val="0"/>
        </w:numPr>
        <w:kinsoku/>
        <w:wordWrap/>
        <w:overflowPunct/>
        <w:topLinePunct w:val="0"/>
        <w:autoSpaceDE/>
        <w:autoSpaceDN/>
        <w:bidi w:val="0"/>
        <w:adjustRightInd/>
        <w:snapToGrid/>
        <w:ind w:left="0" w:leftChars="0" w:firstLine="560" w:firstLineChars="200"/>
        <w:textAlignment w:val="auto"/>
        <w:outlineLvl w:val="9"/>
        <w:rPr>
          <w:rFonts w:hint="default"/>
          <w:color w:val="auto"/>
        </w:rPr>
      </w:pPr>
      <w:r>
        <w:rPr>
          <w:rFonts w:hint="eastAsia"/>
          <w:color w:val="auto"/>
          <w:lang w:val="en-US" w:eastAsia="zh-CN"/>
        </w:rPr>
        <w:t>红</w:t>
      </w:r>
      <w:r>
        <w:rPr>
          <w:color w:val="auto"/>
        </w:rPr>
        <w:t>谷滩区隶属于江西省南昌市，</w:t>
      </w:r>
      <w:r>
        <w:rPr>
          <w:rFonts w:hint="default"/>
          <w:color w:val="auto"/>
        </w:rPr>
        <w:t>位于江西省中北部，赣江西岸，现为江西省委、省政府，南昌市委、市政府所在地，是全省的行政中心、金融中心、商务中心、文化旅游中心、创新中心。赣江通航，辖区内有105国道、320国道、昌樟高速公路、温厚高速、南流公路、南昌西外环线等公路线路穿境而过，是连接东西方向、贯穿全省的重要交通枢纽。并有南昌地铁1号线、南昌地铁2号线、南昌地铁4号线穿区而过。辖区内设有南昌西站，昌九城际铁路在此始发。</w:t>
      </w:r>
    </w:p>
    <w:p>
      <w:pPr>
        <w:pStyle w:val="18"/>
        <w:keepNext w:val="0"/>
        <w:keepLines w:val="0"/>
        <w:pageBreakBefore w:val="0"/>
        <w:widowControl/>
        <w:numPr>
          <w:ilvl w:val="0"/>
          <w:numId w:val="0"/>
        </w:numPr>
        <w:kinsoku/>
        <w:wordWrap/>
        <w:overflowPunct/>
        <w:topLinePunct w:val="0"/>
        <w:autoSpaceDE/>
        <w:autoSpaceDN/>
        <w:bidi w:val="0"/>
        <w:adjustRightInd/>
        <w:snapToGrid/>
        <w:ind w:left="0" w:leftChars="0" w:firstLine="560" w:firstLineChars="200"/>
        <w:textAlignment w:val="auto"/>
        <w:outlineLvl w:val="9"/>
        <w:rPr>
          <w:rFonts w:hint="eastAsia"/>
          <w:color w:val="auto"/>
          <w:lang w:eastAsia="zh-CN"/>
        </w:rPr>
      </w:pPr>
      <w:r>
        <w:rPr>
          <w:rFonts w:hint="eastAsia" w:ascii="仿宋" w:hAnsi="仿宋" w:eastAsia="仿宋" w:cs="仿宋"/>
          <w:color w:val="auto"/>
          <w:lang w:val="en-US" w:eastAsia="zh-CN"/>
        </w:rPr>
        <w:t>红谷滩区坐拥省文化中心、绿地双子塔、江南第一大沙漠——厚田沙漠等地标，“一江两岸”灯光秀创吉尼斯世界纪录，“南昌之星”摩天轮助力南昌获评“全球十大动感城市”，赣江市民公园刷新“一江两岸”风光带，另有九龙湖公园、碟子湖公园、前湖公园等，是南昌的“城市客厅”和“形象窗口”。区域内共有2个4A级景区，5个3A级景区；</w:t>
      </w:r>
      <w:r>
        <w:rPr>
          <w:rFonts w:hint="eastAsia" w:ascii="仿宋" w:hAnsi="仿宋" w:eastAsia="仿宋" w:cs="仿宋"/>
          <w:color w:val="auto"/>
          <w:sz w:val="28"/>
          <w:szCs w:val="28"/>
          <w:lang w:val="en-US" w:eastAsia="zh-CN"/>
        </w:rPr>
        <w:t>市级非遗名录1项（流湖棕编）；文物保护单位41处（其中</w:t>
      </w:r>
      <w:r>
        <w:rPr>
          <w:rFonts w:hint="eastAsia" w:ascii="仿宋" w:hAnsi="仿宋" w:eastAsia="仿宋" w:cs="仿宋"/>
          <w:color w:val="auto"/>
          <w:lang w:val="en-US" w:eastAsia="zh-CN"/>
        </w:rPr>
        <w:t>省级重点文物保护单位1处，市级重点文物保护单位2处</w:t>
      </w:r>
      <w:r>
        <w:rPr>
          <w:rFonts w:hint="eastAsia" w:ascii="仿宋" w:hAnsi="仿宋" w:eastAsia="仿宋" w:cs="仿宋"/>
          <w:color w:val="auto"/>
          <w:sz w:val="28"/>
          <w:szCs w:val="28"/>
          <w:lang w:val="en-US" w:eastAsia="zh-CN"/>
        </w:rPr>
        <w:t>）。</w:t>
      </w:r>
    </w:p>
    <w:p>
      <w:pPr>
        <w:pStyle w:val="18"/>
        <w:keepNext w:val="0"/>
        <w:keepLines w:val="0"/>
        <w:pageBreakBefore w:val="0"/>
        <w:widowControl/>
        <w:numPr>
          <w:ilvl w:val="0"/>
          <w:numId w:val="7"/>
        </w:numPr>
        <w:kinsoku/>
        <w:wordWrap/>
        <w:overflowPunct/>
        <w:topLinePunct w:val="0"/>
        <w:autoSpaceDE/>
        <w:autoSpaceDN/>
        <w:bidi w:val="0"/>
        <w:adjustRightInd/>
        <w:snapToGrid/>
        <w:ind w:left="0" w:leftChars="0" w:firstLine="562" w:firstLineChars="200"/>
        <w:textAlignment w:val="auto"/>
        <w:outlineLvl w:val="2"/>
        <w:rPr>
          <w:b/>
          <w:bCs/>
          <w:color w:val="auto"/>
        </w:rPr>
      </w:pPr>
      <w:bookmarkStart w:id="50" w:name="_Toc22642"/>
      <w:bookmarkStart w:id="51" w:name="_Toc32069"/>
      <w:r>
        <w:rPr>
          <w:rFonts w:hint="eastAsia"/>
          <w:b/>
          <w:bCs/>
          <w:color w:val="auto"/>
          <w:lang w:eastAsia="zh-CN"/>
        </w:rPr>
        <w:t>聚焦体制机制改革，生态制度体系不断健全</w:t>
      </w:r>
      <w:bookmarkEnd w:id="50"/>
      <w:bookmarkEnd w:id="51"/>
    </w:p>
    <w:p>
      <w:pPr>
        <w:pStyle w:val="21"/>
        <w:bidi w:val="0"/>
        <w:rPr>
          <w:rFonts w:hint="eastAsia"/>
          <w:color w:val="auto"/>
          <w:lang w:val="en-US" w:eastAsia="zh-CN"/>
        </w:rPr>
      </w:pPr>
      <w:r>
        <w:rPr>
          <w:rFonts w:hint="eastAsia"/>
          <w:color w:val="auto"/>
          <w:lang w:val="en-US" w:eastAsia="zh-CN"/>
        </w:rPr>
        <w:t>红谷滩区立足新发展阶段，贯彻新发展理念，构建新发展格局，以习近平生态文明思想为指导，深化落实习近平总书记考察江西重要讲话精神，积极探索绿水青山转换为金山银山的路径。</w:t>
      </w:r>
    </w:p>
    <w:p>
      <w:pPr>
        <w:pStyle w:val="21"/>
        <w:bidi w:val="0"/>
        <w:rPr>
          <w:rFonts w:hint="eastAsia"/>
          <w:color w:val="auto"/>
          <w:lang w:val="en-US" w:eastAsia="zh-CN"/>
        </w:rPr>
      </w:pPr>
      <w:r>
        <w:rPr>
          <w:rFonts w:hint="eastAsia"/>
          <w:color w:val="auto"/>
          <w:lang w:val="en-US" w:eastAsia="zh-CN"/>
        </w:rPr>
        <w:t>坚持高位推动，始终把建立健全生态文明制度体系作为推进生态文明建设的重要内容，扎实推进各项改革，确保习近平总书记关于生态文明建设重要指示批示精神、</w:t>
      </w:r>
      <w:r>
        <w:rPr>
          <w:rFonts w:hint="eastAsia"/>
          <w:color w:val="auto"/>
        </w:rPr>
        <w:t>省委十五届四次全会</w:t>
      </w:r>
      <w:r>
        <w:rPr>
          <w:rFonts w:hint="eastAsia"/>
          <w:color w:val="auto"/>
          <w:lang w:val="en-US" w:eastAsia="zh-CN"/>
        </w:rPr>
        <w:t>精神在红谷滩区落实落细。</w:t>
      </w:r>
      <w:r>
        <w:rPr>
          <w:rFonts w:hint="eastAsia"/>
          <w:color w:val="auto"/>
        </w:rPr>
        <w:t>全面落实主体功能区政策和</w:t>
      </w:r>
      <w:r>
        <w:rPr>
          <w:rFonts w:hint="eastAsia"/>
          <w:color w:val="auto"/>
          <w:lang w:eastAsia="zh-CN"/>
        </w:rPr>
        <w:t>“</w:t>
      </w:r>
      <w:r>
        <w:rPr>
          <w:rFonts w:hint="eastAsia"/>
          <w:color w:val="auto"/>
        </w:rPr>
        <w:t>三线一单</w:t>
      </w:r>
      <w:r>
        <w:rPr>
          <w:rFonts w:hint="eastAsia"/>
          <w:color w:val="auto"/>
          <w:lang w:eastAsia="zh-CN"/>
        </w:rPr>
        <w:t>”</w:t>
      </w:r>
      <w:r>
        <w:rPr>
          <w:rFonts w:hint="eastAsia"/>
          <w:color w:val="auto"/>
        </w:rPr>
        <w:t>管控要求，通过转移支付、税收等多种形式，着力构建反映市场供求关系和资源稀缺程度、体现自然价值和代际补偿的资源有偿使用和生态补偿制度。</w:t>
      </w:r>
      <w:r>
        <w:rPr>
          <w:rFonts w:hint="eastAsia"/>
          <w:color w:val="auto"/>
          <w:lang w:val="en-US" w:eastAsia="zh-CN"/>
        </w:rPr>
        <w:t>充分落实</w:t>
      </w:r>
      <w:r>
        <w:rPr>
          <w:rFonts w:hint="eastAsia"/>
          <w:color w:val="auto"/>
        </w:rPr>
        <w:t>《关于构建以排污许可制为核心的固定污染源监管制度体系实施方案（试行）》，初步构建起以排污许可制为核心的固定污染源监管制度体系。严格落实生态环境损害赔偿和责任追究制度，形成责任明确、赔偿到位、修复有效、公开透明的生态环境损害赔偿制度体系。制定《关于成立红谷滩区领导干部自然资源资产离任审计工作领导小组的通知</w:t>
      </w:r>
      <w:r>
        <w:rPr>
          <w:rFonts w:hint="eastAsia"/>
          <w:color w:val="auto"/>
          <w:lang w:eastAsia="zh-CN"/>
        </w:rPr>
        <w:t>》《</w:t>
      </w:r>
      <w:r>
        <w:rPr>
          <w:rFonts w:hint="eastAsia"/>
          <w:color w:val="auto"/>
        </w:rPr>
        <w:t>红谷滩区领导干部自然资源资产离任审计工作领导小组工作规则</w:t>
      </w:r>
      <w:r>
        <w:rPr>
          <w:rFonts w:hint="eastAsia"/>
          <w:color w:val="auto"/>
          <w:lang w:eastAsia="zh-CN"/>
        </w:rPr>
        <w:t>》《</w:t>
      </w:r>
      <w:r>
        <w:rPr>
          <w:rFonts w:hint="eastAsia"/>
          <w:color w:val="auto"/>
        </w:rPr>
        <w:t>红谷滩区领导干部自然资源资产离任审计工作领导小组办公室工作细则》，进</w:t>
      </w:r>
      <w:r>
        <w:rPr>
          <w:rFonts w:hint="eastAsia"/>
          <w:color w:val="auto"/>
          <w:lang w:val="en-US" w:eastAsia="zh-CN"/>
        </w:rPr>
        <w:t>一</w:t>
      </w:r>
      <w:r>
        <w:rPr>
          <w:rFonts w:hint="eastAsia"/>
          <w:color w:val="auto"/>
        </w:rPr>
        <w:t>步促进领导</w:t>
      </w:r>
      <w:r>
        <w:rPr>
          <w:rFonts w:hint="eastAsia"/>
          <w:color w:val="auto"/>
          <w:lang w:val="en-US" w:eastAsia="zh-CN"/>
        </w:rPr>
        <w:t>干</w:t>
      </w:r>
      <w:r>
        <w:rPr>
          <w:rFonts w:hint="eastAsia"/>
          <w:color w:val="auto"/>
        </w:rPr>
        <w:t>部</w:t>
      </w:r>
      <w:r>
        <w:rPr>
          <w:rFonts w:hint="eastAsia"/>
          <w:color w:val="auto"/>
          <w:lang w:val="en-US" w:eastAsia="zh-CN"/>
        </w:rPr>
        <w:t>自</w:t>
      </w:r>
      <w:r>
        <w:rPr>
          <w:rFonts w:hint="eastAsia"/>
          <w:color w:val="auto"/>
        </w:rPr>
        <w:t>然资源资产离任审计工作制度化、规范化、科学化</w:t>
      </w:r>
      <w:r>
        <w:rPr>
          <w:rFonts w:hint="eastAsia"/>
          <w:color w:val="auto"/>
          <w:lang w:val="en-US" w:eastAsia="zh-CN"/>
        </w:rPr>
        <w:t>，</w:t>
      </w:r>
      <w:r>
        <w:rPr>
          <w:rFonts w:hint="eastAsia"/>
          <w:color w:val="auto"/>
        </w:rPr>
        <w:t>全面推行自然资源资产离任审计，将生态文明建设融入发展考核体系</w:t>
      </w:r>
      <w:r>
        <w:rPr>
          <w:rFonts w:hint="eastAsia"/>
          <w:color w:val="auto"/>
          <w:lang w:eastAsia="zh-CN"/>
        </w:rPr>
        <w:t>。</w:t>
      </w:r>
    </w:p>
    <w:p>
      <w:pPr>
        <w:pStyle w:val="18"/>
        <w:bidi w:val="0"/>
        <w:rPr>
          <w:rFonts w:hint="eastAsia"/>
          <w:color w:val="auto"/>
          <w:lang w:eastAsia="zh-CN"/>
        </w:rPr>
      </w:pPr>
      <w:r>
        <w:rPr>
          <w:rFonts w:hint="eastAsia"/>
          <w:color w:val="auto"/>
          <w:lang w:val="en-US" w:eastAsia="zh-CN"/>
        </w:rPr>
        <w:t>红谷滩区强化组织领导，将生态环境保护工作纳入党委政府重要议程，</w:t>
      </w:r>
      <w:r>
        <w:rPr>
          <w:rFonts w:hint="eastAsia"/>
          <w:color w:val="auto"/>
        </w:rPr>
        <w:t>制定</w:t>
      </w:r>
      <w:r>
        <w:rPr>
          <w:rFonts w:hint="eastAsia"/>
          <w:color w:val="auto"/>
          <w:lang w:eastAsia="zh-CN"/>
        </w:rPr>
        <w:t>了</w:t>
      </w:r>
      <w:r>
        <w:rPr>
          <w:rFonts w:hint="eastAsia"/>
          <w:color w:val="auto"/>
        </w:rPr>
        <w:t>《红谷滩区生态环境保护责任清单》，明确区委各部门、区人大政协、区直各单位等三十九个部门</w:t>
      </w:r>
      <w:r>
        <w:rPr>
          <w:rFonts w:hint="eastAsia"/>
          <w:color w:val="auto"/>
          <w:lang w:eastAsia="zh-CN"/>
        </w:rPr>
        <w:t>“</w:t>
      </w:r>
      <w:r>
        <w:rPr>
          <w:rFonts w:hint="eastAsia"/>
          <w:color w:val="auto"/>
        </w:rPr>
        <w:t>党政同责、一岗双责</w:t>
      </w:r>
      <w:r>
        <w:rPr>
          <w:rFonts w:hint="eastAsia"/>
          <w:color w:val="auto"/>
          <w:lang w:eastAsia="zh-CN"/>
        </w:rPr>
        <w:t>”“</w:t>
      </w:r>
      <w:r>
        <w:rPr>
          <w:rFonts w:hint="eastAsia"/>
          <w:color w:val="auto"/>
        </w:rPr>
        <w:t>管发展必须管环保，管生产必须管环保，管行业必须管环保</w:t>
      </w:r>
      <w:r>
        <w:rPr>
          <w:rFonts w:hint="eastAsia"/>
          <w:color w:val="auto"/>
          <w:lang w:eastAsia="zh-CN"/>
        </w:rPr>
        <w:t>”</w:t>
      </w:r>
      <w:r>
        <w:rPr>
          <w:rFonts w:hint="eastAsia"/>
          <w:color w:val="auto"/>
        </w:rPr>
        <w:t>生态环境保护责任。</w:t>
      </w:r>
      <w:r>
        <w:rPr>
          <w:rFonts w:hint="eastAsia"/>
          <w:color w:val="auto"/>
          <w:lang w:val="en-US" w:eastAsia="zh-CN"/>
        </w:rPr>
        <w:t>制定《红谷滩在全面建设美丽江西中充分彰显首府首区作为实施方案》《红谷滩在全面建设美丽江西中充分彰显首府首区作为2022年工作计划》，组建美丽江西专项工作组办公室成员单位工作人员联络名单，建立美丽江西工作“六个一”台账，形成了全区齐抓共管生态环境保护治理、修复的大格局。出台了《关于全面加强生态环境保护 持续深入打好污染防治攻坚战的实施方案》《红谷滩区深入打好污染防治攻坚战八大标志性战役24个专项行动工作方案》《</w:t>
      </w:r>
      <w:r>
        <w:rPr>
          <w:rFonts w:hint="eastAsia"/>
          <w:color w:val="auto"/>
          <w:lang w:eastAsia="zh-CN"/>
        </w:rPr>
        <w:t>红谷滩区大气污染防治精细化管控方案》《</w:t>
      </w:r>
      <w:r>
        <w:rPr>
          <w:rFonts w:hint="eastAsia"/>
          <w:color w:val="auto"/>
        </w:rPr>
        <w:t>红谷滩区臭氧精细化管控方案</w:t>
      </w:r>
      <w:r>
        <w:rPr>
          <w:rFonts w:hint="eastAsia"/>
          <w:color w:val="auto"/>
          <w:lang w:eastAsia="zh-CN"/>
        </w:rPr>
        <w:t>》《南昌市红谷滩区污染天气应急预案》</w:t>
      </w:r>
      <w:r>
        <w:rPr>
          <w:rFonts w:hint="eastAsia"/>
          <w:color w:val="auto"/>
          <w:lang w:val="en-US" w:eastAsia="zh-CN"/>
        </w:rPr>
        <w:t>等相关文件，建立健全督办交办、调度通报等工作机制。</w:t>
      </w:r>
      <w:r>
        <w:rPr>
          <w:rFonts w:hint="default"/>
          <w:color w:val="auto"/>
          <w:lang w:val="en-US" w:eastAsia="zh-CN"/>
        </w:rPr>
        <w:t>持续推进督察问题整改</w:t>
      </w:r>
      <w:r>
        <w:rPr>
          <w:rFonts w:hint="eastAsia"/>
          <w:color w:val="auto"/>
          <w:lang w:val="en-US" w:eastAsia="zh-CN"/>
        </w:rPr>
        <w:t>，印发《南昌市红谷滩区贯彻落实中央生态环境保护督察报告整改方案》，</w:t>
      </w:r>
      <w:r>
        <w:rPr>
          <w:rFonts w:hint="default"/>
          <w:color w:val="auto"/>
          <w:lang w:val="en-US" w:eastAsia="zh-CN"/>
        </w:rPr>
        <w:t>对环保督察及</w:t>
      </w:r>
      <w:r>
        <w:rPr>
          <w:rFonts w:hint="eastAsia"/>
          <w:color w:val="auto"/>
          <w:lang w:val="en-US" w:eastAsia="zh-CN"/>
        </w:rPr>
        <w:t>“</w:t>
      </w:r>
      <w:r>
        <w:rPr>
          <w:rFonts w:hint="default"/>
          <w:color w:val="auto"/>
          <w:lang w:val="en-US" w:eastAsia="zh-CN"/>
        </w:rPr>
        <w:t>回头看</w:t>
      </w:r>
      <w:r>
        <w:rPr>
          <w:rFonts w:hint="eastAsia"/>
          <w:color w:val="auto"/>
          <w:lang w:val="en-US" w:eastAsia="zh-CN"/>
        </w:rPr>
        <w:t>”</w:t>
      </w:r>
      <w:r>
        <w:rPr>
          <w:rFonts w:hint="default"/>
          <w:color w:val="auto"/>
          <w:lang w:val="en-US" w:eastAsia="zh-CN"/>
        </w:rPr>
        <w:t>反馈问题的整改工作</w:t>
      </w:r>
      <w:r>
        <w:rPr>
          <w:color w:val="auto"/>
          <w:lang w:val="en-US" w:eastAsia="zh-CN"/>
        </w:rPr>
        <w:t>实行清单管理，做到</w:t>
      </w:r>
      <w:r>
        <w:rPr>
          <w:rFonts w:hint="eastAsia"/>
          <w:color w:val="auto"/>
          <w:lang w:val="en-US" w:eastAsia="zh-CN"/>
        </w:rPr>
        <w:t>“</w:t>
      </w:r>
      <w:r>
        <w:rPr>
          <w:color w:val="auto"/>
          <w:lang w:val="en-US" w:eastAsia="zh-CN"/>
        </w:rPr>
        <w:t>按期交账、定期查账、据实销账</w:t>
      </w:r>
      <w:r>
        <w:rPr>
          <w:rFonts w:hint="eastAsia"/>
          <w:color w:val="auto"/>
          <w:lang w:val="en-US" w:eastAsia="zh-CN"/>
        </w:rPr>
        <w:t>”</w:t>
      </w:r>
      <w:r>
        <w:rPr>
          <w:color w:val="auto"/>
          <w:lang w:val="en-US" w:eastAsia="zh-CN"/>
        </w:rPr>
        <w:t>。</w:t>
      </w:r>
    </w:p>
    <w:p>
      <w:pPr>
        <w:pStyle w:val="18"/>
        <w:keepNext w:val="0"/>
        <w:keepLines w:val="0"/>
        <w:pageBreakBefore w:val="0"/>
        <w:widowControl/>
        <w:numPr>
          <w:ilvl w:val="0"/>
          <w:numId w:val="7"/>
        </w:numPr>
        <w:kinsoku/>
        <w:wordWrap/>
        <w:overflowPunct/>
        <w:topLinePunct w:val="0"/>
        <w:autoSpaceDE/>
        <w:autoSpaceDN/>
        <w:bidi w:val="0"/>
        <w:adjustRightInd/>
        <w:snapToGrid/>
        <w:ind w:left="0" w:leftChars="0" w:firstLine="562" w:firstLineChars="200"/>
        <w:textAlignment w:val="auto"/>
        <w:outlineLvl w:val="2"/>
        <w:rPr>
          <w:rFonts w:hint="eastAsia"/>
          <w:b/>
          <w:bCs/>
          <w:color w:val="auto"/>
          <w:lang w:eastAsia="zh-CN"/>
        </w:rPr>
      </w:pPr>
      <w:bookmarkStart w:id="52" w:name="_Toc8040"/>
      <w:bookmarkStart w:id="53" w:name="_Toc31738"/>
      <w:r>
        <w:rPr>
          <w:rFonts w:hint="eastAsia"/>
          <w:b/>
          <w:bCs/>
          <w:color w:val="auto"/>
          <w:lang w:eastAsia="zh-CN"/>
        </w:rPr>
        <w:t>推进治理水平现代化，生态环境质量稳步改善</w:t>
      </w:r>
      <w:bookmarkEnd w:id="52"/>
      <w:bookmarkEnd w:id="53"/>
    </w:p>
    <w:p>
      <w:pPr>
        <w:pStyle w:val="21"/>
        <w:bidi w:val="0"/>
        <w:rPr>
          <w:rFonts w:hint="default"/>
          <w:color w:val="auto"/>
          <w:lang w:val="en-US" w:eastAsia="zh-CN"/>
        </w:rPr>
      </w:pPr>
      <w:r>
        <w:rPr>
          <w:rFonts w:hint="eastAsia"/>
          <w:color w:val="auto"/>
          <w:lang w:val="en-US" w:eastAsia="zh-CN"/>
        </w:rPr>
        <w:t>红谷滩区</w:t>
      </w:r>
      <w:r>
        <w:rPr>
          <w:rFonts w:hint="default"/>
          <w:color w:val="auto"/>
          <w:lang w:val="en-US" w:eastAsia="zh-CN"/>
        </w:rPr>
        <w:t>深入贯彻习近平生态文明思想，认真落实中央、省、市关于生态环境保护工作的各项决策部署，坚持问题导向、突出综合整治，明确责任、强化措施，聚焦聚力生态环境保护工作，全面加强生态环境保护，坚决打好污染防治攻坚战，生态环境质量总体改善，生态环境保护各项工作取得积极成效。</w:t>
      </w:r>
    </w:p>
    <w:p>
      <w:pPr>
        <w:pStyle w:val="21"/>
        <w:bidi w:val="0"/>
        <w:rPr>
          <w:rFonts w:hint="eastAsia"/>
          <w:color w:val="auto"/>
          <w:lang w:val="en-US" w:eastAsia="zh-CN"/>
        </w:rPr>
      </w:pPr>
      <w:r>
        <w:rPr>
          <w:rFonts w:hint="eastAsia"/>
          <w:color w:val="auto"/>
          <w:lang w:val="en-US" w:eastAsia="zh-CN"/>
        </w:rPr>
        <w:t>红谷滩区为加强水生态环境治理，深入打好碧水保卫战，综合施策推进水污染防治工作</w:t>
      </w:r>
      <w:r>
        <w:rPr>
          <w:rFonts w:hint="eastAsia"/>
          <w:color w:val="auto"/>
          <w:lang w:eastAsia="zh-CN"/>
        </w:rPr>
        <w:t>，成立水环境治理专班，</w:t>
      </w:r>
      <w:r>
        <w:rPr>
          <w:rFonts w:hint="eastAsia"/>
          <w:color w:val="auto"/>
        </w:rPr>
        <w:t>明确由区城管局负责对小区楼盘</w:t>
      </w:r>
      <w:r>
        <w:rPr>
          <w:rFonts w:hint="eastAsia"/>
          <w:color w:val="auto"/>
          <w:lang w:eastAsia="zh-CN"/>
        </w:rPr>
        <w:t>、道路</w:t>
      </w:r>
      <w:r>
        <w:rPr>
          <w:rFonts w:hint="eastAsia"/>
          <w:color w:val="auto"/>
        </w:rPr>
        <w:t>沿线污水管网错接、混接、漏接问题集中整治，区农业农村局负责控制农业面源污染，区生态环境局负责入河排水口水质检测，形成了部门联动，齐抓共管的水环境治理体系</w:t>
      </w:r>
      <w:r>
        <w:rPr>
          <w:rFonts w:hint="eastAsia"/>
          <w:color w:val="auto"/>
          <w:lang w:eastAsia="zh-CN"/>
        </w:rPr>
        <w:t>。</w:t>
      </w:r>
      <w:r>
        <w:rPr>
          <w:rFonts w:hint="eastAsia"/>
          <w:color w:val="auto"/>
          <w:lang w:val="en-US" w:eastAsia="zh-CN"/>
        </w:rPr>
        <w:t>2022年，红谷滩区</w:t>
      </w:r>
      <w:r>
        <w:rPr>
          <w:rFonts w:hint="eastAsia"/>
          <w:color w:val="auto"/>
        </w:rPr>
        <w:t>赣江干流7个断面水质逐步达到地表水Ⅱ类标准，黑臭水体已全面消除，</w:t>
      </w:r>
      <w:r>
        <w:rPr>
          <w:rFonts w:hint="eastAsia"/>
          <w:color w:val="auto"/>
          <w:lang w:eastAsia="zh-CN"/>
        </w:rPr>
        <w:t>饮用水水源地水质达标率</w:t>
      </w:r>
      <w:r>
        <w:rPr>
          <w:rFonts w:hint="eastAsia"/>
          <w:color w:val="auto"/>
        </w:rPr>
        <w:t>100%。</w:t>
      </w:r>
    </w:p>
    <w:p>
      <w:pPr>
        <w:pStyle w:val="21"/>
        <w:bidi w:val="0"/>
        <w:rPr>
          <w:rFonts w:hint="eastAsia"/>
          <w:color w:val="auto"/>
          <w:lang w:val="en-US" w:eastAsia="zh-CN"/>
        </w:rPr>
      </w:pPr>
      <w:r>
        <w:rPr>
          <w:rFonts w:hint="eastAsia"/>
          <w:color w:val="auto"/>
          <w:lang w:val="en-US" w:eastAsia="zh-CN"/>
        </w:rPr>
        <w:t>为提升区域环境空气质量，提升环境空气优良天数比例，红谷滩区</w:t>
      </w:r>
      <w:r>
        <w:rPr>
          <w:rFonts w:hint="eastAsia"/>
          <w:color w:val="auto"/>
          <w:lang w:eastAsia="zh-CN"/>
        </w:rPr>
        <w:t>以城市扬尘、餐饮油烟、露天禁烧等治理为主要抓手，深入推进红谷滩区大气污染防治工作</w:t>
      </w:r>
      <w:r>
        <w:rPr>
          <w:rFonts w:hint="eastAsia"/>
          <w:color w:val="auto"/>
        </w:rPr>
        <w:t>。制定并印发《红谷滩区严格露天禁烧工作方案</w:t>
      </w:r>
      <w:r>
        <w:rPr>
          <w:rFonts w:hint="eastAsia"/>
          <w:color w:val="auto"/>
          <w:lang w:eastAsia="zh-CN"/>
        </w:rPr>
        <w:t>》《红谷滩区扬尘污染专项整治行动方案》《红谷滩区大气污染防治精细化管控方案》《</w:t>
      </w:r>
      <w:r>
        <w:rPr>
          <w:rFonts w:hint="eastAsia"/>
          <w:color w:val="auto"/>
        </w:rPr>
        <w:t>红谷滩区臭氧精细化管控方案》</w:t>
      </w:r>
      <w:r>
        <w:rPr>
          <w:rFonts w:hint="eastAsia"/>
          <w:color w:val="auto"/>
          <w:lang w:val="en-US" w:eastAsia="zh-CN"/>
        </w:rPr>
        <w:t>等</w:t>
      </w:r>
      <w:r>
        <w:rPr>
          <w:rFonts w:hint="eastAsia"/>
          <w:color w:val="auto"/>
        </w:rPr>
        <w:t>，积极推进裸地扬尘污染</w:t>
      </w:r>
      <w:r>
        <w:rPr>
          <w:rFonts w:hint="eastAsia"/>
          <w:color w:val="auto"/>
          <w:lang w:val="en-US" w:eastAsia="zh-CN"/>
        </w:rPr>
        <w:t>整治</w:t>
      </w:r>
      <w:r>
        <w:rPr>
          <w:rFonts w:hint="eastAsia"/>
          <w:color w:val="auto"/>
        </w:rPr>
        <w:t>，对辖区范围内的裸地进行全面排查</w:t>
      </w:r>
      <w:r>
        <w:rPr>
          <w:rFonts w:hint="eastAsia"/>
          <w:color w:val="auto"/>
          <w:lang w:eastAsia="zh-CN"/>
        </w:rPr>
        <w:t>。</w:t>
      </w:r>
      <w:r>
        <w:rPr>
          <w:rFonts w:hint="eastAsia"/>
          <w:color w:val="auto"/>
          <w:lang w:val="en-US" w:eastAsia="zh-CN"/>
        </w:rPr>
        <w:t>2021~2022年，环境空气优良率保持在较高水平，空气质量较好。</w:t>
      </w:r>
    </w:p>
    <w:p>
      <w:pPr>
        <w:pStyle w:val="21"/>
        <w:bidi w:val="0"/>
        <w:rPr>
          <w:rFonts w:hint="eastAsia"/>
          <w:color w:val="auto"/>
          <w:lang w:val="en-US" w:eastAsia="zh-CN"/>
        </w:rPr>
      </w:pPr>
      <w:r>
        <w:rPr>
          <w:rFonts w:hint="eastAsia"/>
          <w:color w:val="auto"/>
          <w:lang w:val="en-US" w:eastAsia="zh-CN"/>
        </w:rPr>
        <w:t>红谷滩区严格按照方案要求做好“一住两公”地块供地前土壤污染状况调查，近两年已完成40个地块</w:t>
      </w:r>
      <w:r>
        <w:rPr>
          <w:rFonts w:hint="eastAsia"/>
          <w:color w:val="auto"/>
        </w:rPr>
        <w:t>土壤污染状况调查</w:t>
      </w:r>
      <w:r>
        <w:rPr>
          <w:rFonts w:hint="eastAsia"/>
          <w:color w:val="auto"/>
          <w:lang w:val="en-US" w:eastAsia="zh-CN"/>
        </w:rPr>
        <w:t>，全区土壤环境质量总体良好，无疑似污染地块，未发生因耕地土壤污染导致农产品质量超标且造成不良社会影响的事件，未发生因疑似污染地块或污染地块再开发利用不当且造成不良社会影响的事件。</w:t>
      </w:r>
    </w:p>
    <w:p>
      <w:pPr>
        <w:pStyle w:val="18"/>
        <w:keepNext w:val="0"/>
        <w:keepLines w:val="0"/>
        <w:pageBreakBefore w:val="0"/>
        <w:widowControl/>
        <w:numPr>
          <w:ilvl w:val="0"/>
          <w:numId w:val="7"/>
        </w:numPr>
        <w:kinsoku/>
        <w:wordWrap/>
        <w:overflowPunct/>
        <w:topLinePunct w:val="0"/>
        <w:autoSpaceDE/>
        <w:autoSpaceDN/>
        <w:bidi w:val="0"/>
        <w:adjustRightInd/>
        <w:snapToGrid/>
        <w:ind w:left="0" w:leftChars="0" w:firstLine="562" w:firstLineChars="200"/>
        <w:textAlignment w:val="auto"/>
        <w:outlineLvl w:val="2"/>
        <w:rPr>
          <w:rFonts w:hint="eastAsia"/>
          <w:b/>
          <w:bCs/>
          <w:color w:val="auto"/>
          <w:lang w:eastAsia="zh-CN"/>
        </w:rPr>
      </w:pPr>
      <w:bookmarkStart w:id="54" w:name="_Toc19140"/>
      <w:bookmarkStart w:id="55" w:name="_Toc32659"/>
      <w:r>
        <w:rPr>
          <w:rFonts w:hint="eastAsia"/>
          <w:b/>
          <w:bCs/>
          <w:color w:val="auto"/>
          <w:lang w:eastAsia="zh-CN"/>
        </w:rPr>
        <w:t>走低碳绿色发展之路，构建生态经济发展模式</w:t>
      </w:r>
      <w:bookmarkEnd w:id="54"/>
      <w:bookmarkEnd w:id="55"/>
    </w:p>
    <w:p>
      <w:pPr>
        <w:pStyle w:val="18"/>
        <w:bidi w:val="0"/>
        <w:rPr>
          <w:rFonts w:hint="eastAsia"/>
          <w:color w:val="auto"/>
          <w:lang w:val="en-US" w:eastAsia="zh-CN"/>
        </w:rPr>
      </w:pPr>
      <w:r>
        <w:rPr>
          <w:rFonts w:hint="eastAsia"/>
          <w:color w:val="auto"/>
        </w:rPr>
        <w:t>党的十八大以来，红谷滩区聚焦建设全省</w:t>
      </w:r>
      <w:r>
        <w:rPr>
          <w:rFonts w:hint="eastAsia"/>
          <w:color w:val="auto"/>
          <w:lang w:eastAsia="zh-CN"/>
        </w:rPr>
        <w:t>“</w:t>
      </w:r>
      <w:r>
        <w:rPr>
          <w:rFonts w:hint="eastAsia"/>
          <w:color w:val="auto"/>
        </w:rPr>
        <w:t>五个中心</w:t>
      </w:r>
      <w:r>
        <w:rPr>
          <w:rFonts w:hint="eastAsia"/>
          <w:color w:val="auto"/>
          <w:lang w:eastAsia="zh-CN"/>
        </w:rPr>
        <w:t>”</w:t>
      </w:r>
      <w:r>
        <w:rPr>
          <w:rFonts w:hint="eastAsia"/>
          <w:color w:val="auto"/>
        </w:rPr>
        <w:t>和大南昌都市圈核心引领区，以</w:t>
      </w:r>
      <w:r>
        <w:rPr>
          <w:rFonts w:hint="eastAsia"/>
          <w:color w:val="auto"/>
          <w:lang w:eastAsia="zh-CN"/>
        </w:rPr>
        <w:t>“</w:t>
      </w:r>
      <w:r>
        <w:rPr>
          <w:rFonts w:hint="eastAsia"/>
          <w:color w:val="auto"/>
        </w:rPr>
        <w:t>作示范、勇争先</w:t>
      </w:r>
      <w:r>
        <w:rPr>
          <w:rFonts w:hint="eastAsia"/>
          <w:color w:val="auto"/>
          <w:lang w:eastAsia="zh-CN"/>
        </w:rPr>
        <w:t>”</w:t>
      </w:r>
      <w:r>
        <w:rPr>
          <w:rFonts w:hint="eastAsia"/>
          <w:color w:val="auto"/>
        </w:rPr>
        <w:t>的责任感，加快产业转型升级、产业结构调整步伐，确立</w:t>
      </w:r>
      <w:r>
        <w:rPr>
          <w:rFonts w:hint="eastAsia"/>
          <w:color w:val="auto"/>
          <w:lang w:eastAsia="zh-CN"/>
        </w:rPr>
        <w:t>“</w:t>
      </w:r>
      <w:r>
        <w:rPr>
          <w:rFonts w:hint="eastAsia"/>
          <w:color w:val="auto"/>
        </w:rPr>
        <w:t>一产退出、二产淡出、三产突出</w:t>
      </w:r>
      <w:r>
        <w:rPr>
          <w:rFonts w:hint="eastAsia"/>
          <w:color w:val="auto"/>
          <w:lang w:eastAsia="zh-CN"/>
        </w:rPr>
        <w:t>”</w:t>
      </w:r>
      <w:r>
        <w:rPr>
          <w:rFonts w:hint="eastAsia"/>
          <w:color w:val="auto"/>
        </w:rPr>
        <w:t>的产业发展思路</w:t>
      </w:r>
      <w:r>
        <w:rPr>
          <w:rFonts w:hint="eastAsia"/>
          <w:color w:val="auto"/>
          <w:lang w:eastAsia="zh-CN"/>
        </w:rPr>
        <w:t>，</w:t>
      </w:r>
      <w:r>
        <w:rPr>
          <w:rFonts w:hint="eastAsia"/>
          <w:color w:val="auto"/>
        </w:rPr>
        <w:t>重点培育金融、虚拟现实等现代服务业</w:t>
      </w:r>
      <w:r>
        <w:rPr>
          <w:rFonts w:hint="eastAsia"/>
          <w:color w:val="auto"/>
          <w:lang w:eastAsia="zh-CN"/>
        </w:rPr>
        <w:t>。“</w:t>
      </w:r>
      <w:r>
        <w:rPr>
          <w:rFonts w:hint="eastAsia"/>
          <w:color w:val="auto"/>
          <w:lang w:val="en-US" w:eastAsia="zh-CN"/>
        </w:rPr>
        <w:t>十三五”期间，红谷滩区三次产业结构比由0.8：26：73.2调整为0.2：9.8：90，主要经济指标稳居全省“第一方阵”，</w:t>
      </w:r>
      <w:r>
        <w:rPr>
          <w:rFonts w:hint="default"/>
          <w:color w:val="auto"/>
          <w:lang w:val="en-US" w:eastAsia="zh-CN"/>
        </w:rPr>
        <w:t>绿色低碳产业</w:t>
      </w:r>
      <w:r>
        <w:rPr>
          <w:rFonts w:hint="eastAsia"/>
          <w:color w:val="auto"/>
          <w:lang w:val="en-US" w:eastAsia="zh-CN"/>
        </w:rPr>
        <w:t>的</w:t>
      </w:r>
      <w:r>
        <w:rPr>
          <w:rFonts w:hint="default"/>
          <w:color w:val="auto"/>
          <w:lang w:val="en-US" w:eastAsia="zh-CN"/>
        </w:rPr>
        <w:t>发展</w:t>
      </w:r>
      <w:r>
        <w:rPr>
          <w:rFonts w:hint="eastAsia"/>
          <w:color w:val="auto"/>
          <w:lang w:val="en-US" w:eastAsia="zh-CN"/>
        </w:rPr>
        <w:t>取得成效。</w:t>
      </w:r>
    </w:p>
    <w:p>
      <w:pPr>
        <w:pStyle w:val="21"/>
        <w:bidi w:val="0"/>
        <w:rPr>
          <w:rFonts w:hint="eastAsia"/>
          <w:color w:val="auto"/>
          <w:lang w:val="en-US" w:eastAsia="zh-CN"/>
        </w:rPr>
      </w:pPr>
      <w:r>
        <w:rPr>
          <w:color w:val="auto"/>
        </w:rPr>
        <w:t>南昌市红谷滩区在推动经济社会发展的同时，高度重视工业节能减排工作，坚持走绿色发展之路，有效降低工业能耗。</w:t>
      </w:r>
      <w:r>
        <w:rPr>
          <w:rFonts w:hint="eastAsia"/>
          <w:color w:val="auto"/>
          <w:lang w:val="en-US" w:eastAsia="zh-CN"/>
        </w:rPr>
        <w:t>2022</w:t>
      </w:r>
      <w:r>
        <w:rPr>
          <w:color w:val="auto"/>
        </w:rPr>
        <w:t>年，</w:t>
      </w:r>
      <w:r>
        <w:rPr>
          <w:rFonts w:hint="eastAsia"/>
          <w:color w:val="auto"/>
          <w:lang w:val="en-US" w:eastAsia="zh-CN"/>
        </w:rPr>
        <w:t>红谷滩</w:t>
      </w:r>
      <w:r>
        <w:rPr>
          <w:color w:val="auto"/>
        </w:rPr>
        <w:t>区</w:t>
      </w:r>
      <w:r>
        <w:rPr>
          <w:rFonts w:hint="eastAsia"/>
          <w:color w:val="auto"/>
          <w:lang w:val="en-US" w:eastAsia="zh-CN"/>
        </w:rPr>
        <w:t>规上</w:t>
      </w:r>
      <w:r>
        <w:rPr>
          <w:color w:val="auto"/>
        </w:rPr>
        <w:t>工业企业</w:t>
      </w:r>
      <w:r>
        <w:rPr>
          <w:rFonts w:hint="eastAsia"/>
          <w:color w:val="auto"/>
          <w:lang w:val="en-US" w:eastAsia="zh-CN"/>
        </w:rPr>
        <w:t>总</w:t>
      </w:r>
      <w:r>
        <w:rPr>
          <w:color w:val="auto"/>
        </w:rPr>
        <w:t>能耗由516吨标准煤降至342吨标准煤，同比下降33.77%，单位工业增加值能耗同比下降37.5%，在南昌市2022年度工业节能工作差异化考核中位列第一。</w:t>
      </w:r>
      <w:r>
        <w:rPr>
          <w:rFonts w:hint="eastAsia"/>
          <w:color w:val="auto"/>
        </w:rPr>
        <w:t>严格</w:t>
      </w:r>
      <w:r>
        <w:rPr>
          <w:rFonts w:hint="eastAsia"/>
          <w:color w:val="auto"/>
          <w:lang w:eastAsia="zh-CN"/>
        </w:rPr>
        <w:t>“</w:t>
      </w:r>
      <w:r>
        <w:rPr>
          <w:rFonts w:hint="eastAsia"/>
          <w:color w:val="auto"/>
        </w:rPr>
        <w:t>两高</w:t>
      </w:r>
      <w:r>
        <w:rPr>
          <w:rFonts w:hint="eastAsia"/>
          <w:color w:val="auto"/>
          <w:lang w:eastAsia="zh-CN"/>
        </w:rPr>
        <w:t>”</w:t>
      </w:r>
      <w:r>
        <w:rPr>
          <w:rFonts w:hint="eastAsia"/>
          <w:color w:val="auto"/>
        </w:rPr>
        <w:t>项目准入管理</w:t>
      </w:r>
      <w:r>
        <w:rPr>
          <w:rFonts w:hint="eastAsia"/>
          <w:color w:val="auto"/>
          <w:lang w:eastAsia="zh-CN"/>
        </w:rPr>
        <w:t>，</w:t>
      </w:r>
      <w:r>
        <w:rPr>
          <w:rFonts w:hint="eastAsia"/>
          <w:color w:val="auto"/>
        </w:rPr>
        <w:t>在辖区内开展</w:t>
      </w:r>
      <w:r>
        <w:rPr>
          <w:rFonts w:hint="eastAsia"/>
          <w:color w:val="auto"/>
          <w:lang w:eastAsia="zh-CN"/>
        </w:rPr>
        <w:t>“</w:t>
      </w:r>
      <w:r>
        <w:rPr>
          <w:rFonts w:hint="eastAsia"/>
          <w:color w:val="auto"/>
        </w:rPr>
        <w:t>两高</w:t>
      </w:r>
      <w:r>
        <w:rPr>
          <w:rFonts w:hint="eastAsia"/>
          <w:color w:val="auto"/>
          <w:lang w:eastAsia="zh-CN"/>
        </w:rPr>
        <w:t>”</w:t>
      </w:r>
      <w:r>
        <w:rPr>
          <w:rFonts w:hint="eastAsia"/>
          <w:color w:val="auto"/>
        </w:rPr>
        <w:t>项目清理排查</w:t>
      </w:r>
      <w:r>
        <w:rPr>
          <w:rFonts w:hint="eastAsia"/>
          <w:color w:val="auto"/>
          <w:lang w:eastAsia="zh-CN"/>
        </w:rPr>
        <w:t>，</w:t>
      </w:r>
      <w:r>
        <w:rPr>
          <w:rFonts w:hint="eastAsia"/>
          <w:color w:val="auto"/>
        </w:rPr>
        <w:t>建立拟建、在建、存量和违规</w:t>
      </w:r>
      <w:r>
        <w:rPr>
          <w:rFonts w:hint="eastAsia"/>
          <w:color w:val="auto"/>
          <w:lang w:eastAsia="zh-CN"/>
        </w:rPr>
        <w:t>“</w:t>
      </w:r>
      <w:r>
        <w:rPr>
          <w:rFonts w:hint="eastAsia"/>
          <w:color w:val="auto"/>
        </w:rPr>
        <w:t>两高</w:t>
      </w:r>
      <w:r>
        <w:rPr>
          <w:rFonts w:hint="eastAsia"/>
          <w:color w:val="auto"/>
          <w:lang w:eastAsia="zh-CN"/>
        </w:rPr>
        <w:t>”</w:t>
      </w:r>
      <w:r>
        <w:rPr>
          <w:rFonts w:hint="eastAsia"/>
          <w:color w:val="auto"/>
        </w:rPr>
        <w:t>项目四张清单</w:t>
      </w:r>
      <w:r>
        <w:rPr>
          <w:rFonts w:hint="eastAsia"/>
          <w:color w:val="auto"/>
          <w:lang w:eastAsia="zh-CN"/>
        </w:rPr>
        <w:t>，</w:t>
      </w:r>
      <w:r>
        <w:rPr>
          <w:rFonts w:hint="eastAsia"/>
          <w:color w:val="auto"/>
        </w:rPr>
        <w:t>经排查</w:t>
      </w:r>
      <w:r>
        <w:rPr>
          <w:rFonts w:hint="eastAsia"/>
          <w:color w:val="auto"/>
          <w:lang w:eastAsia="zh-CN"/>
        </w:rPr>
        <w:t>，</w:t>
      </w:r>
      <w:r>
        <w:rPr>
          <w:rFonts w:hint="eastAsia"/>
          <w:color w:val="auto"/>
        </w:rPr>
        <w:t>红谷滩区无两高项目。</w:t>
      </w:r>
    </w:p>
    <w:p>
      <w:pPr>
        <w:pStyle w:val="18"/>
        <w:bidi w:val="0"/>
        <w:rPr>
          <w:rFonts w:ascii="Times New Roman" w:hAnsi="Times New Roman" w:cs="Times New Roman"/>
          <w:color w:val="auto"/>
        </w:rPr>
      </w:pPr>
      <w:r>
        <w:rPr>
          <w:rFonts w:hint="eastAsia" w:ascii="Times New Roman" w:hAnsi="Times New Roman" w:cs="Times New Roman"/>
          <w:color w:val="auto"/>
          <w:lang w:val="en-US" w:eastAsia="zh-CN"/>
        </w:rPr>
        <w:t>近年来，红谷滩区加快构建绿色低碳能源体系，大力推广光伏发电应用，促进光伏产业健康有序发展。已建成的分布式光伏项目共4个，分别为南昌万象城995KW分布式光伏发电项目、众邦MOHO国129.88KW分布式光伏发电项目、江西省公安厅183.3KW分布式光伏发电项目以及云湾加油加气站80.04KW分布式光伏发电项目，四个项目均已并网发电。拟建设分布式光伏项目2个，分别为红谷滩区现代服务产业园240KW分布式光伏项目、红谷滩区流量经济（互联网）产业园181KW分布式光伏项目。建设集中式光伏项目1个，为国家能源集团南昌霞坊100MW渔光储一体化发电项目。同时，红谷滩区对区属公共机构建筑、区属平台公司园区工业厂房屋顶资源情况进行摸排梳理，已开发屋顶光伏面积30.6万平方米，装机容量为61976KW，其余具备可开发条件的屋顶面积约为4.2万平方米，装机容量约为40200KW。</w:t>
      </w:r>
    </w:p>
    <w:p>
      <w:pPr>
        <w:pStyle w:val="18"/>
        <w:keepNext w:val="0"/>
        <w:keepLines w:val="0"/>
        <w:pageBreakBefore w:val="0"/>
        <w:widowControl/>
        <w:numPr>
          <w:ilvl w:val="0"/>
          <w:numId w:val="7"/>
        </w:numPr>
        <w:kinsoku/>
        <w:wordWrap/>
        <w:overflowPunct/>
        <w:topLinePunct w:val="0"/>
        <w:autoSpaceDE/>
        <w:autoSpaceDN/>
        <w:bidi w:val="0"/>
        <w:adjustRightInd/>
        <w:snapToGrid/>
        <w:ind w:left="0" w:leftChars="0" w:firstLine="562" w:firstLineChars="200"/>
        <w:textAlignment w:val="auto"/>
        <w:outlineLvl w:val="2"/>
        <w:rPr>
          <w:rFonts w:hint="eastAsia"/>
          <w:b/>
          <w:bCs/>
          <w:color w:val="auto"/>
          <w:lang w:eastAsia="zh-CN"/>
        </w:rPr>
      </w:pPr>
      <w:bookmarkStart w:id="56" w:name="_Toc31704"/>
      <w:bookmarkStart w:id="57" w:name="_Toc17949"/>
      <w:r>
        <w:rPr>
          <w:rFonts w:hint="eastAsia"/>
          <w:b/>
          <w:bCs/>
          <w:color w:val="auto"/>
          <w:lang w:eastAsia="zh-CN"/>
        </w:rPr>
        <w:t>提升基础设施服务质量，</w:t>
      </w:r>
      <w:bookmarkEnd w:id="56"/>
      <w:r>
        <w:rPr>
          <w:rFonts w:hint="eastAsia"/>
          <w:b/>
          <w:bCs/>
          <w:color w:val="auto"/>
          <w:lang w:val="en-US" w:eastAsia="zh-CN"/>
        </w:rPr>
        <w:t>人居环境持续提升</w:t>
      </w:r>
      <w:bookmarkEnd w:id="57"/>
    </w:p>
    <w:p>
      <w:pPr>
        <w:pStyle w:val="21"/>
        <w:bidi w:val="0"/>
        <w:rPr>
          <w:rFonts w:hint="eastAsia"/>
          <w:color w:val="auto"/>
          <w:lang w:val="en-US" w:eastAsia="zh-CN"/>
        </w:rPr>
      </w:pPr>
      <w:r>
        <w:rPr>
          <w:rFonts w:hint="eastAsia"/>
          <w:color w:val="auto"/>
          <w:lang w:val="en-US" w:eastAsia="zh-CN"/>
        </w:rPr>
        <w:t>红谷滩区深化“马路本色”行动，固化“洗城”机制，全面提升城市精细化管理水平。环卫保洁持续精细，结合红谷滩道路特点，采取机械化清扫、人行道冲洗、快速流动保洁相结合的多层次保洁方式，实行“三全保洁”（全时段、全方位、全闭环）模式，在廉文化广场打造了全市“席地而坐”示范点。目前全区引进市场化环卫企业3家，玉禾田公司、华赣公司、侨银公司，现有一线工人2400余人，环卫车辆675辆，做到车辆外观标识统一及环卫作业服装统一。按照“科学管理与养护、遵循植物的自然生长规律”的原则，常态化做好绿化修剪、草花更补工作。完成12个重要道路节点草花提升，重点提升风筝广场、中央绿廊等“城市绿肺”管护，主要道路全部实现“彩化”点缀。2022年，全区绿化总面积为8050公顷，绿化覆盖率达46%。城市顽疾日益减少。大力开展围墙围挡整治，按照“先易后难、主次分明”标准，采取应拆尽拆原则，将闲置地块打造成停车场、休闲空间等便民设施；累计拆除围墙围挡28处共计6316米，打造出中央绿轴、三馆停车场、飞虹路停车场等停车休闲空间；累计整治各类围挡98处共计8350米，打造了铜锣湾广场三期、融创度假酒店等围挡示范段。结合全区竖向规划，发布《红谷滩区建筑垃圾管理实施细则》，明确各方责任，严格执行渣余土调拨平衡机制，探索全过程闭环智慧化监管，迈出破解渣余土管理难题第一步；采取小投入方式推动裸露山坡生态修复工程，力争实现“网红坡”大变化。为进一步压实市场化企业责任，红谷滩区城市管理和综合执法局结合区划调整进一步细化了考核方案，起草了《红谷滩区“三合一”市场化监督管理办法》《红谷滩区2023年城市精细化管理考核工作方案》，建立健全企业预警及退出机制，杜绝了垃圾落地十分钟无人管、垃圾死角无人清，城市家具无人打理等乱象。</w:t>
      </w:r>
    </w:p>
    <w:p>
      <w:pPr>
        <w:pStyle w:val="21"/>
        <w:bidi w:val="0"/>
        <w:rPr>
          <w:rFonts w:hint="eastAsia"/>
          <w:color w:val="auto"/>
        </w:rPr>
      </w:pPr>
      <w:r>
        <w:rPr>
          <w:rFonts w:hint="eastAsia"/>
          <w:color w:val="auto"/>
        </w:rPr>
        <w:t>红谷滩区城镇老旧小区共有28个，2019年至</w:t>
      </w:r>
      <w:r>
        <w:rPr>
          <w:rFonts w:hint="eastAsia"/>
          <w:color w:val="auto"/>
          <w:lang w:val="en-US" w:eastAsia="zh-CN"/>
        </w:rPr>
        <w:t>2022年，</w:t>
      </w:r>
      <w:r>
        <w:rPr>
          <w:rFonts w:hint="eastAsia"/>
          <w:color w:val="auto"/>
        </w:rPr>
        <w:t>已完成城镇老旧小区改造项目17个，2023年列入改造计划7个，剩余4</w:t>
      </w:r>
      <w:r>
        <w:rPr>
          <w:rFonts w:hint="eastAsia"/>
          <w:color w:val="auto"/>
          <w:lang w:val="en-US" w:eastAsia="zh-CN"/>
        </w:rPr>
        <w:t>个计划</w:t>
      </w:r>
      <w:r>
        <w:rPr>
          <w:rFonts w:hint="eastAsia"/>
          <w:color w:val="auto"/>
        </w:rPr>
        <w:t>列入2024年</w:t>
      </w:r>
      <w:r>
        <w:rPr>
          <w:rFonts w:hint="eastAsia"/>
          <w:color w:val="auto"/>
          <w:lang w:val="en-US" w:eastAsia="zh-CN"/>
        </w:rPr>
        <w:t>后</w:t>
      </w:r>
      <w:r>
        <w:rPr>
          <w:rFonts w:hint="eastAsia"/>
          <w:color w:val="auto"/>
        </w:rPr>
        <w:t>改造。</w:t>
      </w:r>
      <w:r>
        <w:rPr>
          <w:rFonts w:hint="eastAsia"/>
          <w:color w:val="auto"/>
          <w:lang w:val="en-US" w:eastAsia="zh-CN"/>
        </w:rPr>
        <w:t>红谷滩区秉承</w:t>
      </w:r>
      <w:r>
        <w:rPr>
          <w:rFonts w:hint="eastAsia"/>
          <w:color w:val="auto"/>
          <w:lang w:eastAsia="zh-CN"/>
        </w:rPr>
        <w:t>“</w:t>
      </w:r>
      <w:r>
        <w:rPr>
          <w:rFonts w:hint="eastAsia"/>
          <w:color w:val="auto"/>
        </w:rPr>
        <w:t>两个共同</w:t>
      </w:r>
      <w:r>
        <w:rPr>
          <w:rFonts w:hint="eastAsia"/>
          <w:color w:val="auto"/>
          <w:lang w:eastAsia="zh-CN"/>
        </w:rPr>
        <w:t>”（</w:t>
      </w:r>
      <w:r>
        <w:rPr>
          <w:rFonts w:hint="eastAsia"/>
          <w:color w:val="auto"/>
        </w:rPr>
        <w:t>美好环境与幸福生活共同缔造</w:t>
      </w:r>
      <w:r>
        <w:rPr>
          <w:rFonts w:hint="eastAsia"/>
          <w:color w:val="auto"/>
          <w:lang w:eastAsia="zh-CN"/>
        </w:rPr>
        <w:t>、</w:t>
      </w:r>
      <w:r>
        <w:rPr>
          <w:rFonts w:hint="eastAsia"/>
          <w:color w:val="auto"/>
          <w:lang w:val="en-US" w:eastAsia="zh-CN"/>
        </w:rPr>
        <w:t>小区</w:t>
      </w:r>
      <w:r>
        <w:rPr>
          <w:rFonts w:hint="eastAsia"/>
          <w:color w:val="auto"/>
        </w:rPr>
        <w:t>改造和</w:t>
      </w:r>
      <w:r>
        <w:rPr>
          <w:rFonts w:hint="eastAsia"/>
          <w:color w:val="auto"/>
          <w:lang w:val="en-US" w:eastAsia="zh-CN"/>
        </w:rPr>
        <w:t>文明</w:t>
      </w:r>
      <w:r>
        <w:rPr>
          <w:rFonts w:hint="eastAsia"/>
          <w:color w:val="auto"/>
        </w:rPr>
        <w:t>创建共同推进</w:t>
      </w:r>
      <w:r>
        <w:rPr>
          <w:rFonts w:hint="eastAsia"/>
          <w:color w:val="auto"/>
          <w:lang w:eastAsia="zh-CN"/>
        </w:rPr>
        <w:t>）</w:t>
      </w:r>
      <w:r>
        <w:rPr>
          <w:rFonts w:hint="eastAsia"/>
          <w:color w:val="auto"/>
        </w:rPr>
        <w:t>理念</w:t>
      </w:r>
      <w:r>
        <w:rPr>
          <w:rFonts w:hint="eastAsia"/>
          <w:color w:val="auto"/>
          <w:lang w:eastAsia="zh-CN"/>
        </w:rPr>
        <w:t>，</w:t>
      </w:r>
      <w:r>
        <w:rPr>
          <w:rFonts w:hint="eastAsia"/>
          <w:color w:val="auto"/>
        </w:rPr>
        <w:t>坚持以基础设施整治改造为主、综合整治提升为辅的原则，</w:t>
      </w:r>
      <w:r>
        <w:rPr>
          <w:rFonts w:hint="eastAsia"/>
          <w:color w:val="auto"/>
          <w:lang w:val="en-US" w:eastAsia="zh-CN"/>
        </w:rPr>
        <w:t>实行后期管理前置，杜绝改造后管理缺位情况，努力</w:t>
      </w:r>
      <w:r>
        <w:rPr>
          <w:rFonts w:hint="eastAsia"/>
          <w:color w:val="auto"/>
        </w:rPr>
        <w:t>将老旧小区打造成优美整洁、设施齐全、文明和谐的</w:t>
      </w:r>
      <w:r>
        <w:rPr>
          <w:rFonts w:hint="eastAsia"/>
          <w:color w:val="auto"/>
          <w:lang w:val="en-US" w:eastAsia="zh-CN"/>
        </w:rPr>
        <w:t>幸福家园</w:t>
      </w:r>
      <w:r>
        <w:rPr>
          <w:rFonts w:hint="eastAsia"/>
          <w:color w:val="auto"/>
        </w:rPr>
        <w:t>。</w:t>
      </w:r>
    </w:p>
    <w:p>
      <w:pPr>
        <w:pStyle w:val="21"/>
        <w:bidi w:val="0"/>
        <w:rPr>
          <w:rFonts w:hint="default"/>
          <w:color w:val="auto"/>
          <w:lang w:val="en-US" w:eastAsia="zh-CN"/>
        </w:rPr>
      </w:pPr>
      <w:r>
        <w:rPr>
          <w:rFonts w:hint="eastAsia"/>
          <w:color w:val="auto"/>
          <w:lang w:val="en-US" w:eastAsia="zh-CN"/>
        </w:rPr>
        <w:t>红谷滩区充分利用城市拆迁腾退地、边角地、废弃地和闲置地、建设用地红线退让地、拆围透绿等场地，着力打造生态宜居都市。全区累计建有10个公园，27个城市休闲空间（邮票绿地），补足休闲、体育、公共服务设施，尤其是</w:t>
      </w:r>
      <w:r>
        <w:rPr>
          <w:rFonts w:hint="default"/>
          <w:color w:val="auto"/>
          <w:lang w:val="en-US" w:eastAsia="zh-CN"/>
        </w:rPr>
        <w:t>赣江市民公园一</w:t>
      </w:r>
      <w:r>
        <w:rPr>
          <w:rFonts w:hint="eastAsia"/>
          <w:color w:val="auto"/>
          <w:lang w:val="en-US" w:eastAsia="zh-CN"/>
        </w:rPr>
        <w:t>、</w:t>
      </w:r>
      <w:r>
        <w:rPr>
          <w:rFonts w:hint="default"/>
          <w:color w:val="auto"/>
          <w:lang w:val="en-US" w:eastAsia="zh-CN"/>
        </w:rPr>
        <w:t>二</w:t>
      </w:r>
      <w:r>
        <w:rPr>
          <w:rFonts w:hint="eastAsia"/>
          <w:color w:val="auto"/>
          <w:lang w:val="en-US" w:eastAsia="zh-CN"/>
        </w:rPr>
        <w:t>、</w:t>
      </w:r>
      <w:r>
        <w:rPr>
          <w:rFonts w:hint="default"/>
          <w:color w:val="auto"/>
          <w:lang w:val="en-US" w:eastAsia="zh-CN"/>
        </w:rPr>
        <w:t>三</w:t>
      </w:r>
      <w:r>
        <w:rPr>
          <w:rFonts w:hint="eastAsia"/>
          <w:color w:val="auto"/>
          <w:lang w:val="en-US" w:eastAsia="zh-CN"/>
        </w:rPr>
        <w:t>、</w:t>
      </w:r>
      <w:r>
        <w:rPr>
          <w:rFonts w:hint="default"/>
          <w:color w:val="auto"/>
          <w:lang w:val="en-US" w:eastAsia="zh-CN"/>
        </w:rPr>
        <w:t>四</w:t>
      </w:r>
      <w:r>
        <w:rPr>
          <w:rFonts w:hint="eastAsia"/>
          <w:color w:val="auto"/>
          <w:lang w:val="en-US" w:eastAsia="zh-CN"/>
        </w:rPr>
        <w:t>、</w:t>
      </w:r>
      <w:r>
        <w:rPr>
          <w:rFonts w:hint="default"/>
          <w:color w:val="auto"/>
          <w:lang w:val="en-US" w:eastAsia="zh-CN"/>
        </w:rPr>
        <w:t>五期在赣江西岸构成一条长达28公里的生态优良、景色优美的绿色生态廊道</w:t>
      </w:r>
      <w:r>
        <w:rPr>
          <w:rFonts w:hint="eastAsia"/>
          <w:color w:val="auto"/>
          <w:lang w:val="en-US" w:eastAsia="zh-CN"/>
        </w:rPr>
        <w:t>，</w:t>
      </w:r>
      <w:r>
        <w:rPr>
          <w:rFonts w:hint="default"/>
          <w:color w:val="auto"/>
          <w:lang w:val="en-US" w:eastAsia="zh-CN"/>
        </w:rPr>
        <w:t>为市民提供休闲放松空间</w:t>
      </w:r>
      <w:r>
        <w:rPr>
          <w:rFonts w:hint="eastAsia"/>
          <w:color w:val="auto"/>
          <w:lang w:val="en-US" w:eastAsia="zh-CN"/>
        </w:rPr>
        <w:t>，</w:t>
      </w:r>
      <w:r>
        <w:rPr>
          <w:rFonts w:hint="default"/>
          <w:color w:val="auto"/>
          <w:lang w:val="en-US" w:eastAsia="zh-CN"/>
        </w:rPr>
        <w:t>展现</w:t>
      </w:r>
      <w:r>
        <w:rPr>
          <w:rFonts w:hint="eastAsia"/>
          <w:color w:val="auto"/>
          <w:lang w:val="en-US" w:eastAsia="zh-CN"/>
        </w:rPr>
        <w:t>红谷滩</w:t>
      </w:r>
      <w:r>
        <w:rPr>
          <w:rFonts w:hint="default"/>
          <w:color w:val="auto"/>
          <w:lang w:val="en-US" w:eastAsia="zh-CN"/>
        </w:rPr>
        <w:t>的独特魅力。</w:t>
      </w:r>
    </w:p>
    <w:p>
      <w:pPr>
        <w:pStyle w:val="21"/>
        <w:bidi w:val="0"/>
        <w:rPr>
          <w:rFonts w:hint="eastAsia"/>
          <w:color w:val="auto"/>
          <w:lang w:val="en-US" w:eastAsia="zh-CN"/>
        </w:rPr>
      </w:pPr>
      <w:r>
        <w:rPr>
          <w:rFonts w:hint="eastAsia"/>
          <w:color w:val="auto"/>
        </w:rPr>
        <w:t>为有效改善店面到道路间车辆乱停、垃圾乱扔等现象，</w:t>
      </w:r>
      <w:r>
        <w:rPr>
          <w:rFonts w:hint="eastAsia"/>
          <w:color w:val="auto"/>
          <w:lang w:val="en-US" w:eastAsia="zh-CN"/>
        </w:rPr>
        <w:t>红谷滩区</w:t>
      </w:r>
      <w:r>
        <w:rPr>
          <w:rFonts w:hint="eastAsia"/>
          <w:color w:val="auto"/>
        </w:rPr>
        <w:t>率先在全省实施</w:t>
      </w:r>
      <w:r>
        <w:rPr>
          <w:rFonts w:hint="eastAsia"/>
          <w:color w:val="auto"/>
          <w:lang w:val="en-US" w:eastAsia="zh-CN"/>
        </w:rPr>
        <w:t>“</w:t>
      </w:r>
      <w:r>
        <w:rPr>
          <w:rFonts w:hint="eastAsia"/>
          <w:color w:val="auto"/>
        </w:rPr>
        <w:t>物管城市</w:t>
      </w:r>
      <w:r>
        <w:rPr>
          <w:rFonts w:hint="eastAsia"/>
          <w:color w:val="auto"/>
          <w:lang w:val="en-US" w:eastAsia="zh-CN"/>
        </w:rPr>
        <w:t>”</w:t>
      </w:r>
      <w:r>
        <w:rPr>
          <w:rFonts w:hint="eastAsia"/>
          <w:color w:val="auto"/>
        </w:rPr>
        <w:t>工作试点，通过引入社会资本对店面到道路间区域实施改造，对改造区域施划停车泊位收费管理，规范该区域车辆有序停放，落实改造区域内环境卫生维护主体，让投资方享受停车收益分成，物业减轻管理压力，商户收获良好环境秩序，居民享受停车收益分成用于小区公益事业，政府减少人力物力财力投入压力。</w:t>
      </w:r>
    </w:p>
    <w:p>
      <w:pPr>
        <w:pStyle w:val="21"/>
        <w:bidi w:val="0"/>
        <w:rPr>
          <w:color w:val="auto"/>
        </w:rPr>
      </w:pPr>
      <w:r>
        <w:rPr>
          <w:rFonts w:hint="eastAsia"/>
          <w:color w:val="auto"/>
          <w:lang w:val="en-US" w:eastAsia="zh-CN"/>
        </w:rPr>
        <w:t>红谷滩区</w:t>
      </w:r>
      <w:r>
        <w:rPr>
          <w:color w:val="auto"/>
          <w:lang w:val="en-US" w:eastAsia="zh-CN"/>
        </w:rPr>
        <w:t>扎实开展农业农村</w:t>
      </w:r>
      <w:r>
        <w:rPr>
          <w:rFonts w:hint="eastAsia"/>
          <w:color w:val="auto"/>
          <w:lang w:val="en-US" w:eastAsia="zh-CN"/>
        </w:rPr>
        <w:t>“</w:t>
      </w:r>
      <w:r>
        <w:rPr>
          <w:color w:val="auto"/>
          <w:lang w:val="en-US" w:eastAsia="zh-CN"/>
        </w:rPr>
        <w:t>两整治一提升</w:t>
      </w:r>
      <w:r>
        <w:rPr>
          <w:rFonts w:hint="eastAsia"/>
          <w:color w:val="auto"/>
          <w:lang w:val="en-US" w:eastAsia="zh-CN"/>
        </w:rPr>
        <w:t>”，</w:t>
      </w:r>
      <w:r>
        <w:rPr>
          <w:color w:val="auto"/>
          <w:lang w:val="en-US" w:eastAsia="zh-CN"/>
        </w:rPr>
        <w:t>持续深化乡</w:t>
      </w:r>
      <w:r>
        <w:rPr>
          <w:rFonts w:hint="eastAsia"/>
          <w:color w:val="auto"/>
          <w:lang w:val="en-US" w:eastAsia="zh-CN"/>
        </w:rPr>
        <w:t>村振兴战略。</w:t>
      </w:r>
      <w:r>
        <w:rPr>
          <w:color w:val="auto"/>
          <w:lang w:val="en-US" w:eastAsia="zh-CN"/>
        </w:rPr>
        <w:t>大力整治农村人居环境</w:t>
      </w:r>
      <w:r>
        <w:rPr>
          <w:rFonts w:hint="eastAsia"/>
          <w:color w:val="auto"/>
          <w:lang w:val="en-US" w:eastAsia="zh-CN"/>
        </w:rPr>
        <w:t>，按照“四化”“八有”标准，投资4000余万元打造了厚田闸上村“乡村振兴示范村”、生米街道谢家垅自然村“共同富裕样板村”等7个示范点，安装了40个自然村571盏路灯。</w:t>
      </w:r>
      <w:r>
        <w:rPr>
          <w:rFonts w:hint="default"/>
          <w:color w:val="auto"/>
          <w:lang w:val="en-US" w:eastAsia="zh-CN"/>
        </w:rPr>
        <w:t>大力整治农村路域环境</w:t>
      </w:r>
      <w:r>
        <w:rPr>
          <w:rFonts w:hint="eastAsia"/>
          <w:color w:val="auto"/>
          <w:lang w:val="en-US" w:eastAsia="zh-CN"/>
        </w:rPr>
        <w:t>，改造昌樟生米立交桥、厚田艾家桥2座危桥，安装20公里农村道路临水临崖护栏。围绕涉农乡镇农村路域环境整治和农村人居环境提升，投资1300余万元保障村庄环境长效管护和日常保洁；有序推进农村厕所革命，合理规划建设公共厕所，对村级主干道进行升级改造。</w:t>
      </w:r>
    </w:p>
    <w:p>
      <w:pPr>
        <w:pStyle w:val="18"/>
        <w:keepNext w:val="0"/>
        <w:keepLines w:val="0"/>
        <w:pageBreakBefore w:val="0"/>
        <w:widowControl/>
        <w:numPr>
          <w:ilvl w:val="0"/>
          <w:numId w:val="7"/>
        </w:numPr>
        <w:kinsoku/>
        <w:wordWrap/>
        <w:overflowPunct/>
        <w:topLinePunct w:val="0"/>
        <w:autoSpaceDE/>
        <w:autoSpaceDN/>
        <w:bidi w:val="0"/>
        <w:adjustRightInd/>
        <w:snapToGrid/>
        <w:ind w:left="0" w:leftChars="0" w:firstLine="562" w:firstLineChars="200"/>
        <w:textAlignment w:val="auto"/>
        <w:outlineLvl w:val="2"/>
        <w:rPr>
          <w:rFonts w:hint="eastAsia"/>
          <w:b/>
          <w:bCs/>
          <w:color w:val="auto"/>
          <w:lang w:eastAsia="zh-CN"/>
        </w:rPr>
      </w:pPr>
      <w:bookmarkStart w:id="58" w:name="_Toc21940"/>
      <w:bookmarkStart w:id="59" w:name="_Toc27339"/>
      <w:r>
        <w:rPr>
          <w:rFonts w:hint="eastAsia"/>
          <w:b/>
          <w:bCs/>
          <w:color w:val="auto"/>
          <w:lang w:eastAsia="zh-CN"/>
        </w:rPr>
        <w:t>多举措深化社会参与，根植生态环境保护理念</w:t>
      </w:r>
      <w:bookmarkEnd w:id="58"/>
      <w:bookmarkEnd w:id="59"/>
    </w:p>
    <w:p>
      <w:pPr>
        <w:pStyle w:val="21"/>
        <w:bidi w:val="0"/>
        <w:rPr>
          <w:rFonts w:hint="default"/>
          <w:color w:val="auto"/>
          <w:lang w:val="en-US" w:eastAsia="zh-CN"/>
        </w:rPr>
      </w:pPr>
      <w:r>
        <w:rPr>
          <w:rFonts w:hint="eastAsia"/>
          <w:color w:val="auto"/>
          <w:lang w:val="en-US" w:eastAsia="zh-CN"/>
        </w:rPr>
        <w:t>红谷滩区</w:t>
      </w:r>
      <w:r>
        <w:rPr>
          <w:rFonts w:hint="default"/>
          <w:color w:val="auto"/>
          <w:lang w:val="en-US" w:eastAsia="zh-CN"/>
        </w:rPr>
        <w:t>以共建共享为契机，不断增强生态理念</w:t>
      </w:r>
      <w:r>
        <w:rPr>
          <w:rFonts w:hint="eastAsia"/>
          <w:color w:val="auto"/>
          <w:lang w:val="en-US" w:eastAsia="zh-CN"/>
        </w:rPr>
        <w:t>“</w:t>
      </w:r>
      <w:r>
        <w:rPr>
          <w:rFonts w:hint="default"/>
          <w:color w:val="auto"/>
          <w:lang w:val="en-US" w:eastAsia="zh-CN"/>
        </w:rPr>
        <w:t>凝聚力</w:t>
      </w:r>
      <w:r>
        <w:rPr>
          <w:rFonts w:hint="eastAsia"/>
          <w:color w:val="auto"/>
          <w:lang w:val="en-US" w:eastAsia="zh-CN"/>
        </w:rPr>
        <w:t>”</w:t>
      </w:r>
      <w:r>
        <w:rPr>
          <w:rFonts w:hint="default"/>
          <w:color w:val="auto"/>
          <w:lang w:val="en-US" w:eastAsia="zh-CN"/>
        </w:rPr>
        <w:t>。积极培育市民生态文明意识，大力倡导绿色生活方式，希望人人争做绿色崛起的宣传者，希望人人争做低碳生活的践行者，希望人人争做绿水青山的守护者</w:t>
      </w:r>
      <w:r>
        <w:rPr>
          <w:rFonts w:hint="eastAsia"/>
          <w:color w:val="auto"/>
          <w:lang w:val="en-US" w:eastAsia="zh-CN"/>
        </w:rPr>
        <w:t>，</w:t>
      </w:r>
      <w:r>
        <w:rPr>
          <w:rFonts w:hint="default"/>
          <w:color w:val="auto"/>
          <w:lang w:val="en-US" w:eastAsia="zh-CN"/>
        </w:rPr>
        <w:t>形成生态文明建设人人参与、共建共享的社会风尚。近年来，</w:t>
      </w:r>
      <w:r>
        <w:rPr>
          <w:rFonts w:hint="eastAsia"/>
          <w:color w:val="auto"/>
          <w:lang w:val="en-US" w:eastAsia="zh-CN"/>
        </w:rPr>
        <w:t>红谷滩区</w:t>
      </w:r>
      <w:r>
        <w:rPr>
          <w:rFonts w:hint="default"/>
          <w:color w:val="auto"/>
          <w:lang w:val="en-US" w:eastAsia="zh-CN"/>
        </w:rPr>
        <w:t>利用</w:t>
      </w:r>
      <w:r>
        <w:rPr>
          <w:rFonts w:hint="eastAsia"/>
          <w:color w:val="auto"/>
          <w:lang w:val="en-US" w:eastAsia="zh-CN"/>
        </w:rPr>
        <w:t>“</w:t>
      </w:r>
      <w:r>
        <w:rPr>
          <w:rFonts w:hint="default"/>
          <w:color w:val="auto"/>
          <w:lang w:val="en-US" w:eastAsia="zh-CN"/>
        </w:rPr>
        <w:t>六五</w:t>
      </w:r>
      <w:r>
        <w:rPr>
          <w:rFonts w:hint="eastAsia"/>
          <w:color w:val="auto"/>
          <w:lang w:val="en-US" w:eastAsia="zh-CN"/>
        </w:rPr>
        <w:t>环境日”、“全国生态日”、“</w:t>
      </w:r>
      <w:r>
        <w:rPr>
          <w:rFonts w:hint="default"/>
          <w:color w:val="auto"/>
          <w:lang w:val="en-US" w:eastAsia="zh-CN"/>
        </w:rPr>
        <w:t>全国低碳日</w:t>
      </w:r>
      <w:r>
        <w:rPr>
          <w:rFonts w:hint="eastAsia"/>
          <w:color w:val="auto"/>
          <w:lang w:val="en-US" w:eastAsia="zh-CN"/>
        </w:rPr>
        <w:t>”、“</w:t>
      </w:r>
      <w:r>
        <w:rPr>
          <w:rFonts w:hint="default"/>
          <w:color w:val="auto"/>
          <w:lang w:val="en-US" w:eastAsia="zh-CN"/>
        </w:rPr>
        <w:t>生物多样性日</w:t>
      </w:r>
      <w:r>
        <w:rPr>
          <w:rFonts w:hint="eastAsia"/>
          <w:color w:val="auto"/>
          <w:lang w:val="en-US" w:eastAsia="zh-CN"/>
        </w:rPr>
        <w:t>”</w:t>
      </w:r>
      <w:r>
        <w:rPr>
          <w:rFonts w:hint="default"/>
          <w:color w:val="auto"/>
          <w:lang w:val="en-US" w:eastAsia="zh-CN"/>
        </w:rPr>
        <w:t>等活动的有利契机，结合创文明城市和卫生城市工作，充分运用现代媒体作用，采取多种宣传手段在</w:t>
      </w:r>
      <w:r>
        <w:rPr>
          <w:rFonts w:hint="eastAsia"/>
          <w:color w:val="auto"/>
          <w:lang w:val="en-US" w:eastAsia="zh-CN"/>
        </w:rPr>
        <w:t>红谷滩区</w:t>
      </w:r>
      <w:r>
        <w:rPr>
          <w:rFonts w:hint="default"/>
          <w:color w:val="auto"/>
          <w:lang w:val="en-US" w:eastAsia="zh-CN"/>
        </w:rPr>
        <w:t>范围内开展环保宣传活动</w:t>
      </w:r>
      <w:r>
        <w:rPr>
          <w:rFonts w:hint="eastAsia"/>
          <w:color w:val="auto"/>
          <w:lang w:val="en-US" w:eastAsia="zh-CN"/>
        </w:rPr>
        <w:t>，呼吁更多的人参与到环保事业中，用实际行动一起共享低碳生活，随手关灯，少开一天车，减少粮食浪费，避免使用一次性产品，引导人们从身边小事做起，绿色低碳生活，为环保做出自己的努力。发放“生态环境保护普法”“碳达峰碳中和”“生物多样性保护”等宣传手册，向群众普及生物多样性保护、节能环保、垃圾分类、生态环境保护法律法规等知识，让群众真切感受到生态环境保护与人们日常生活息息相关，激发人们保护生态环境的热情，凝聚起强大的环境保护力量，让人民群众在优美的生态环境中享有更好的获得感。红谷滩区稳步推进生态创建，全区共有1乡1镇，均已完成省级生态乡镇创建；共有58个行政村（其中2个为城中村），其中33个行政村完成了南昌市市级生态村的创建；共有14个社区入选江西第一批绿色社区，21个社区入选江西第二批绿色社区。</w:t>
      </w:r>
    </w:p>
    <w:p>
      <w:pPr>
        <w:pStyle w:val="21"/>
        <w:bidi w:val="0"/>
        <w:rPr>
          <w:rFonts w:hint="eastAsia" w:ascii="Times New Roman" w:hAnsi="Times New Roman"/>
          <w:color w:val="auto"/>
          <w:lang w:val="en-US" w:eastAsia="zh-CN"/>
        </w:rPr>
      </w:pPr>
    </w:p>
    <w:p>
      <w:pPr>
        <w:rPr>
          <w:rFonts w:hint="eastAsia" w:ascii="Times New Roman" w:hAnsi="Times New Roman"/>
          <w:color w:val="auto"/>
          <w:lang w:val="en-US" w:eastAsia="zh-CN"/>
        </w:rPr>
      </w:pPr>
      <w:r>
        <w:rPr>
          <w:rFonts w:hint="eastAsia" w:ascii="Times New Roman" w:hAnsi="Times New Roman"/>
          <w:color w:val="auto"/>
          <w:lang w:val="en-US" w:eastAsia="zh-CN"/>
        </w:rPr>
        <w:br w:type="page"/>
      </w:r>
    </w:p>
    <w:p>
      <w:pPr>
        <w:pStyle w:val="19"/>
        <w:bidi w:val="0"/>
        <w:ind w:left="0" w:leftChars="0"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 xml:space="preserve">  </w:t>
      </w:r>
      <w:bookmarkStart w:id="60" w:name="_Toc5739"/>
      <w:bookmarkStart w:id="61" w:name="_Toc3962"/>
      <w:bookmarkStart w:id="62" w:name="_Toc19346"/>
      <w:bookmarkStart w:id="63" w:name="_Toc28808"/>
      <w:r>
        <w:rPr>
          <w:rFonts w:hint="eastAsia" w:ascii="Times New Roman" w:hAnsi="Times New Roman"/>
          <w:color w:val="auto"/>
          <w:lang w:val="en-US" w:eastAsia="zh-CN"/>
        </w:rPr>
        <w:t>问题与压力</w:t>
      </w:r>
      <w:bookmarkEnd w:id="60"/>
      <w:bookmarkEnd w:id="61"/>
      <w:bookmarkEnd w:id="62"/>
      <w:bookmarkEnd w:id="63"/>
    </w:p>
    <w:p>
      <w:pPr>
        <w:pStyle w:val="20"/>
        <w:numPr>
          <w:ilvl w:val="1"/>
          <w:numId w:val="0"/>
        </w:numPr>
        <w:bidi w:val="0"/>
        <w:ind w:leftChars="0"/>
        <w:rPr>
          <w:rFonts w:hint="eastAsia" w:ascii="仿宋" w:hAnsi="仿宋" w:eastAsia="仿宋" w:cs="仿宋"/>
          <w:color w:val="auto"/>
          <w:lang w:val="en-US" w:eastAsia="zh-CN"/>
        </w:rPr>
      </w:pPr>
      <w:bookmarkStart w:id="64" w:name="_Toc21945"/>
      <w:bookmarkStart w:id="65" w:name="_Toc132363068"/>
      <w:bookmarkStart w:id="66" w:name="_Toc31344"/>
      <w:bookmarkStart w:id="67" w:name="_Toc6084"/>
      <w:bookmarkStart w:id="68" w:name="_Toc4116"/>
      <w:bookmarkStart w:id="69" w:name="_Toc18332017"/>
      <w:r>
        <w:rPr>
          <w:rFonts w:hint="eastAsia" w:ascii="仿宋" w:hAnsi="仿宋" w:eastAsia="仿宋" w:cs="仿宋"/>
          <w:color w:val="auto"/>
          <w:lang w:val="en-US" w:eastAsia="zh-CN"/>
        </w:rPr>
        <w:t>（一）主要问题</w:t>
      </w:r>
      <w:bookmarkEnd w:id="64"/>
      <w:bookmarkEnd w:id="65"/>
      <w:bookmarkEnd w:id="66"/>
      <w:bookmarkEnd w:id="67"/>
      <w:bookmarkEnd w:id="68"/>
      <w:bookmarkEnd w:id="69"/>
    </w:p>
    <w:p>
      <w:pPr>
        <w:pStyle w:val="21"/>
        <w:keepNext w:val="0"/>
        <w:keepLines w:val="0"/>
        <w:widowControl/>
        <w:numPr>
          <w:ilvl w:val="0"/>
          <w:numId w:val="8"/>
        </w:numPr>
        <w:suppressLineNumbers w:val="0"/>
        <w:ind w:firstLine="562"/>
        <w:jc w:val="left"/>
        <w:outlineLvl w:val="2"/>
        <w:rPr>
          <w:rFonts w:hint="eastAsia" w:ascii="Times New Roman" w:hAnsi="Times New Roman" w:eastAsia="仿宋" w:cs="Times New Roman"/>
          <w:b/>
          <w:bCs/>
          <w:color w:val="auto"/>
          <w:kern w:val="0"/>
          <w:sz w:val="28"/>
          <w:szCs w:val="28"/>
          <w:lang w:val="en-US" w:eastAsia="zh-CN" w:bidi="ar"/>
        </w:rPr>
      </w:pPr>
      <w:bookmarkStart w:id="70" w:name="_Toc10261"/>
      <w:bookmarkStart w:id="71" w:name="_Toc9986"/>
      <w:bookmarkStart w:id="72" w:name="_Toc3688"/>
      <w:bookmarkStart w:id="73" w:name="_Toc11895"/>
      <w:r>
        <w:rPr>
          <w:rFonts w:hint="eastAsia" w:ascii="Times New Roman" w:hAnsi="Times New Roman" w:eastAsia="仿宋" w:cs="Times New Roman"/>
          <w:b/>
          <w:bCs/>
          <w:color w:val="auto"/>
          <w:kern w:val="0"/>
          <w:sz w:val="28"/>
          <w:szCs w:val="28"/>
          <w:lang w:val="en-US" w:eastAsia="zh-CN" w:bidi="ar"/>
        </w:rPr>
        <w:t>生态文明制度建设亟待加强</w:t>
      </w:r>
      <w:bookmarkEnd w:id="70"/>
      <w:bookmarkEnd w:id="71"/>
    </w:p>
    <w:p>
      <w:pPr>
        <w:pStyle w:val="21"/>
        <w:keepNext w:val="0"/>
        <w:keepLines w:val="0"/>
        <w:widowControl/>
        <w:suppressLineNumbers w:val="0"/>
        <w:jc w:val="left"/>
        <w:rPr>
          <w:color w:val="auto"/>
        </w:rPr>
      </w:pPr>
      <w:r>
        <w:rPr>
          <w:rFonts w:hint="eastAsia"/>
          <w:color w:val="auto"/>
          <w:lang w:val="en-US" w:eastAsia="zh-CN"/>
        </w:rPr>
        <w:t>红谷滩区</w:t>
      </w:r>
      <w:r>
        <w:rPr>
          <w:color w:val="auto"/>
          <w:lang w:val="en-US" w:eastAsia="zh-CN"/>
        </w:rPr>
        <w:t>公众参与生态保护和监管的机制有待健全，各部门生态环境保护职责和企业生态保护责任需进一步明确，党政领导干部综合考评机制、追责机制等体现生态文明建设要求的相关制度尚未得到有效实施。自然资源资产产权制度、国土空间开发保护制度、国土空间规划体系、资源有偿使用和生态补偿制度、生态文明绩效评价考核和责任追究制度等制度有待完善</w:t>
      </w:r>
      <w:r>
        <w:rPr>
          <w:rFonts w:hint="eastAsia"/>
          <w:color w:val="auto"/>
          <w:lang w:val="en-US" w:eastAsia="zh-CN"/>
        </w:rPr>
        <w:t>。</w:t>
      </w:r>
    </w:p>
    <w:p>
      <w:pPr>
        <w:pStyle w:val="21"/>
        <w:keepNext w:val="0"/>
        <w:keepLines w:val="0"/>
        <w:pageBreakBefore w:val="0"/>
        <w:widowControl/>
        <w:numPr>
          <w:ilvl w:val="0"/>
          <w:numId w:val="8"/>
        </w:numPr>
        <w:kinsoku/>
        <w:wordWrap/>
        <w:overflowPunct/>
        <w:topLinePunct w:val="0"/>
        <w:autoSpaceDE/>
        <w:autoSpaceDN/>
        <w:bidi w:val="0"/>
        <w:adjustRightInd/>
        <w:snapToGrid/>
        <w:ind w:firstLine="562" w:firstLineChars="200"/>
        <w:textAlignment w:val="auto"/>
        <w:outlineLvl w:val="2"/>
        <w:rPr>
          <w:rFonts w:hint="eastAsia"/>
          <w:b/>
          <w:bCs/>
          <w:color w:val="auto"/>
        </w:rPr>
      </w:pPr>
      <w:bookmarkStart w:id="74" w:name="_Toc17502"/>
      <w:bookmarkStart w:id="75" w:name="_Toc23945"/>
      <w:r>
        <w:rPr>
          <w:rFonts w:hint="eastAsia"/>
          <w:b/>
          <w:bCs/>
          <w:color w:val="auto"/>
        </w:rPr>
        <w:t>环境质量改善成效尚不稳固，环保治理设施存在短板</w:t>
      </w:r>
      <w:bookmarkEnd w:id="72"/>
      <w:bookmarkEnd w:id="73"/>
      <w:bookmarkEnd w:id="74"/>
      <w:bookmarkEnd w:id="75"/>
    </w:p>
    <w:p>
      <w:pPr>
        <w:pStyle w:val="21"/>
        <w:bidi w:val="0"/>
        <w:rPr>
          <w:rFonts w:hint="eastAsia"/>
          <w:color w:val="auto"/>
        </w:rPr>
      </w:pPr>
      <w:r>
        <w:rPr>
          <w:rFonts w:hint="eastAsia"/>
          <w:color w:val="auto"/>
        </w:rPr>
        <w:t>虽然</w:t>
      </w:r>
      <w:r>
        <w:rPr>
          <w:rFonts w:hint="eastAsia"/>
          <w:color w:val="auto"/>
          <w:lang w:val="en-US" w:eastAsia="zh-CN"/>
        </w:rPr>
        <w:t>全</w:t>
      </w:r>
      <w:r>
        <w:rPr>
          <w:rFonts w:hint="eastAsia"/>
          <w:color w:val="auto"/>
        </w:rPr>
        <w:t>区在深入打好污染防治攻坚战上做了大量工作，也取得了一定成效，但仍然面临着发展和环境保护的双重压力</w:t>
      </w:r>
      <w:r>
        <w:rPr>
          <w:rFonts w:hint="eastAsia"/>
          <w:color w:val="auto"/>
          <w:lang w:val="en-US" w:eastAsia="zh-CN"/>
        </w:rPr>
        <w:t>。大气污染防治压力较大，</w:t>
      </w:r>
      <w:r>
        <w:rPr>
          <w:rFonts w:hint="eastAsia"/>
          <w:color w:val="auto"/>
        </w:rPr>
        <w:t>扬尘治理成效不明显，臭氧污染加重趋势显著，202</w:t>
      </w:r>
      <w:r>
        <w:rPr>
          <w:rFonts w:hint="eastAsia"/>
          <w:color w:val="auto"/>
          <w:lang w:val="en-US" w:eastAsia="zh-CN"/>
        </w:rPr>
        <w:t>2</w:t>
      </w:r>
      <w:r>
        <w:rPr>
          <w:rFonts w:hint="eastAsia"/>
          <w:color w:val="auto"/>
        </w:rPr>
        <w:t>年，臭氧日最大8小时值90%位数值均值为</w:t>
      </w:r>
      <w:r>
        <w:rPr>
          <w:rFonts w:hint="eastAsia"/>
          <w:color w:val="auto"/>
          <w:lang w:val="en-US" w:eastAsia="zh-CN"/>
        </w:rPr>
        <w:t>157</w:t>
      </w:r>
      <w:r>
        <w:rPr>
          <w:rFonts w:hint="default"/>
          <w:color w:val="auto"/>
        </w:rPr>
        <w:t>μ</w:t>
      </w:r>
      <w:r>
        <w:rPr>
          <w:rFonts w:hint="eastAsia"/>
          <w:color w:val="auto"/>
        </w:rPr>
        <w:t>g/m</w:t>
      </w:r>
      <w:r>
        <w:rPr>
          <w:rFonts w:hint="eastAsia"/>
          <w:color w:val="auto"/>
          <w:vertAlign w:val="superscript"/>
        </w:rPr>
        <w:t>3</w:t>
      </w:r>
      <w:r>
        <w:rPr>
          <w:rFonts w:hint="eastAsia"/>
          <w:color w:val="auto"/>
        </w:rPr>
        <w:t>，较20</w:t>
      </w:r>
      <w:r>
        <w:rPr>
          <w:rFonts w:hint="eastAsia"/>
          <w:color w:val="auto"/>
          <w:lang w:val="en-US" w:eastAsia="zh-CN"/>
        </w:rPr>
        <w:t>21</w:t>
      </w:r>
      <w:r>
        <w:rPr>
          <w:rFonts w:hint="eastAsia"/>
          <w:color w:val="auto"/>
        </w:rPr>
        <w:t>年的</w:t>
      </w:r>
      <w:r>
        <w:rPr>
          <w:rFonts w:hint="eastAsia"/>
          <w:color w:val="auto"/>
          <w:lang w:val="en-US" w:eastAsia="zh-CN"/>
        </w:rPr>
        <w:t>135</w:t>
      </w:r>
      <w:r>
        <w:rPr>
          <w:rFonts w:hint="default"/>
          <w:color w:val="auto"/>
        </w:rPr>
        <w:t>μ</w:t>
      </w:r>
      <w:r>
        <w:rPr>
          <w:rFonts w:hint="eastAsia"/>
          <w:color w:val="auto"/>
        </w:rPr>
        <w:t>g/m</w:t>
      </w:r>
      <w:r>
        <w:rPr>
          <w:rFonts w:hint="eastAsia"/>
          <w:color w:val="auto"/>
          <w:vertAlign w:val="superscript"/>
        </w:rPr>
        <w:t>3</w:t>
      </w:r>
      <w:r>
        <w:rPr>
          <w:rFonts w:hint="eastAsia"/>
          <w:color w:val="auto"/>
        </w:rPr>
        <w:t>提高了</w:t>
      </w:r>
      <w:r>
        <w:rPr>
          <w:rFonts w:hint="eastAsia"/>
          <w:color w:val="auto"/>
          <w:lang w:val="en-US" w:eastAsia="zh-CN"/>
        </w:rPr>
        <w:t>16.3</w:t>
      </w:r>
      <w:r>
        <w:rPr>
          <w:rFonts w:hint="eastAsia"/>
          <w:color w:val="auto"/>
        </w:rPr>
        <w:t>%，臭氧和细颗粒物协同控制难度大。城镇农村生活污水收集和处理能力不足，污水收集管网建设滞后。</w:t>
      </w:r>
    </w:p>
    <w:p>
      <w:pPr>
        <w:pStyle w:val="21"/>
        <w:keepNext w:val="0"/>
        <w:keepLines w:val="0"/>
        <w:widowControl/>
        <w:numPr>
          <w:ilvl w:val="0"/>
          <w:numId w:val="8"/>
        </w:numPr>
        <w:suppressLineNumbers w:val="0"/>
        <w:ind w:firstLine="562"/>
        <w:jc w:val="left"/>
        <w:outlineLvl w:val="2"/>
        <w:rPr>
          <w:rFonts w:hint="eastAsia" w:ascii="Times New Roman" w:hAnsi="Times New Roman" w:eastAsia="仿宋" w:cs="Times New Roman"/>
          <w:b/>
          <w:bCs/>
          <w:color w:val="auto"/>
          <w:kern w:val="0"/>
          <w:sz w:val="28"/>
          <w:szCs w:val="28"/>
          <w:lang w:val="en-US" w:eastAsia="zh-CN" w:bidi="ar"/>
        </w:rPr>
      </w:pPr>
      <w:bookmarkStart w:id="76" w:name="_Toc22353"/>
      <w:bookmarkStart w:id="77" w:name="_Toc24747"/>
      <w:bookmarkStart w:id="78" w:name="_Toc15630"/>
      <w:bookmarkStart w:id="79" w:name="_Toc4273"/>
      <w:r>
        <w:rPr>
          <w:rFonts w:hint="eastAsia" w:ascii="Times New Roman" w:hAnsi="Times New Roman" w:eastAsia="仿宋" w:cs="Times New Roman"/>
          <w:b/>
          <w:bCs/>
          <w:color w:val="auto"/>
          <w:kern w:val="0"/>
          <w:sz w:val="28"/>
          <w:szCs w:val="28"/>
          <w:lang w:val="en-US" w:eastAsia="zh-CN" w:bidi="ar"/>
        </w:rPr>
        <w:t>生态空间占比较低</w:t>
      </w:r>
      <w:bookmarkEnd w:id="76"/>
      <w:bookmarkEnd w:id="77"/>
    </w:p>
    <w:p>
      <w:pPr>
        <w:pStyle w:val="21"/>
        <w:keepNext w:val="0"/>
        <w:keepLines w:val="0"/>
        <w:widowControl/>
        <w:suppressLineNumbers w:val="0"/>
        <w:jc w:val="left"/>
        <w:rPr>
          <w:color w:val="auto"/>
        </w:rPr>
      </w:pPr>
      <w:r>
        <w:rPr>
          <w:color w:val="auto"/>
          <w:lang w:val="en-US" w:eastAsia="zh-CN"/>
        </w:rPr>
        <w:t>随着经济社会持续快速发展，全区建设用地需求不断增长，城镇开发建设向外围延伸，城镇建设与生态用地保护之间的矛盾仍然存在。同时，</w:t>
      </w:r>
      <w:r>
        <w:rPr>
          <w:rFonts w:hint="eastAsia"/>
          <w:color w:val="auto"/>
          <w:lang w:val="en-US" w:eastAsia="zh-CN"/>
        </w:rPr>
        <w:t>红谷滩</w:t>
      </w:r>
      <w:r>
        <w:rPr>
          <w:color w:val="auto"/>
          <w:lang w:val="en-US" w:eastAsia="zh-CN"/>
        </w:rPr>
        <w:t>区生态保护红线面积</w:t>
      </w:r>
      <w:r>
        <w:rPr>
          <w:rFonts w:hint="eastAsia"/>
          <w:color w:val="auto"/>
          <w:lang w:val="en-US" w:eastAsia="zh-CN"/>
        </w:rPr>
        <w:t>、保护湿地面积占比较少</w:t>
      </w:r>
      <w:r>
        <w:rPr>
          <w:color w:val="auto"/>
          <w:lang w:val="en-US" w:eastAsia="zh-CN"/>
        </w:rPr>
        <w:t>，</w:t>
      </w:r>
      <w:r>
        <w:rPr>
          <w:rFonts w:hint="eastAsia"/>
          <w:color w:val="auto"/>
          <w:lang w:val="en-US" w:eastAsia="zh-CN"/>
        </w:rPr>
        <w:t>无自然保护地，</w:t>
      </w:r>
      <w:r>
        <w:rPr>
          <w:color w:val="auto"/>
          <w:lang w:val="en-US" w:eastAsia="zh-CN"/>
        </w:rPr>
        <w:t>生态用地分布不均衡。城市建设用地面积持续扩大对维护生态空间造成压力。</w:t>
      </w:r>
    </w:p>
    <w:p>
      <w:pPr>
        <w:pStyle w:val="21"/>
        <w:keepNext w:val="0"/>
        <w:keepLines w:val="0"/>
        <w:pageBreakBefore w:val="0"/>
        <w:widowControl/>
        <w:numPr>
          <w:ilvl w:val="0"/>
          <w:numId w:val="8"/>
        </w:numPr>
        <w:kinsoku/>
        <w:wordWrap/>
        <w:overflowPunct/>
        <w:topLinePunct w:val="0"/>
        <w:autoSpaceDE/>
        <w:autoSpaceDN/>
        <w:bidi w:val="0"/>
        <w:adjustRightInd/>
        <w:snapToGrid/>
        <w:ind w:firstLine="562" w:firstLineChars="200"/>
        <w:textAlignment w:val="auto"/>
        <w:outlineLvl w:val="2"/>
        <w:rPr>
          <w:rFonts w:hint="eastAsia"/>
          <w:b/>
          <w:bCs/>
          <w:color w:val="auto"/>
          <w:lang w:eastAsia="zh-CN"/>
        </w:rPr>
      </w:pPr>
      <w:bookmarkStart w:id="80" w:name="_Toc16719"/>
      <w:bookmarkStart w:id="81" w:name="_Toc10425"/>
      <w:r>
        <w:rPr>
          <w:rFonts w:hint="eastAsia"/>
          <w:b/>
          <w:bCs/>
          <w:color w:val="auto"/>
          <w:lang w:eastAsia="zh-CN"/>
        </w:rPr>
        <w:t>林业资源保护管理仍需加强</w:t>
      </w:r>
      <w:bookmarkEnd w:id="78"/>
      <w:bookmarkEnd w:id="79"/>
      <w:bookmarkEnd w:id="80"/>
      <w:bookmarkEnd w:id="81"/>
    </w:p>
    <w:p>
      <w:pPr>
        <w:pStyle w:val="21"/>
        <w:bidi w:val="0"/>
        <w:rPr>
          <w:rFonts w:hint="eastAsia"/>
          <w:color w:val="auto"/>
        </w:rPr>
      </w:pPr>
      <w:r>
        <w:rPr>
          <w:rFonts w:hint="eastAsia"/>
          <w:color w:val="auto"/>
        </w:rPr>
        <w:t>随着经济社会快速发展，工业化、城镇化和新农村建设步伐不断加快，建设用地的需求量不断加大，用地指标缺口大，林地保护与经济发展、城乡建设矛盾更加突出，林地保护管理压力加大</w:t>
      </w:r>
      <w:r>
        <w:rPr>
          <w:rFonts w:hint="eastAsia"/>
          <w:color w:val="auto"/>
          <w:lang w:eastAsia="zh-CN"/>
        </w:rPr>
        <w:t>，</w:t>
      </w:r>
      <w:r>
        <w:rPr>
          <w:rFonts w:hint="eastAsia"/>
          <w:color w:val="auto"/>
        </w:rPr>
        <w:t>单位蓄积量仍在低水平徘徊。</w:t>
      </w:r>
    </w:p>
    <w:p>
      <w:pPr>
        <w:pStyle w:val="21"/>
        <w:keepNext w:val="0"/>
        <w:keepLines w:val="0"/>
        <w:pageBreakBefore w:val="0"/>
        <w:widowControl/>
        <w:numPr>
          <w:ilvl w:val="0"/>
          <w:numId w:val="8"/>
        </w:numPr>
        <w:kinsoku/>
        <w:wordWrap/>
        <w:overflowPunct/>
        <w:topLinePunct w:val="0"/>
        <w:autoSpaceDE/>
        <w:autoSpaceDN/>
        <w:bidi w:val="0"/>
        <w:adjustRightInd/>
        <w:snapToGrid/>
        <w:ind w:left="0" w:firstLine="562"/>
        <w:textAlignment w:val="auto"/>
        <w:outlineLvl w:val="2"/>
        <w:rPr>
          <w:rFonts w:hint="eastAsia" w:ascii="Times New Roman" w:hAnsi="Times New Roman" w:cs="Times New Roman"/>
          <w:b/>
          <w:bCs/>
          <w:color w:val="auto"/>
          <w:lang w:eastAsia="zh-CN"/>
        </w:rPr>
      </w:pPr>
      <w:bookmarkStart w:id="82" w:name="_Toc12033"/>
      <w:bookmarkStart w:id="83" w:name="_Toc26719"/>
      <w:r>
        <w:rPr>
          <w:rFonts w:hint="eastAsia" w:ascii="Times New Roman" w:hAnsi="Times New Roman" w:cs="Times New Roman"/>
          <w:b/>
          <w:bCs/>
          <w:color w:val="auto"/>
          <w:lang w:eastAsia="zh-CN"/>
        </w:rPr>
        <w:t>生态文明社会氛围需进一步强化</w:t>
      </w:r>
      <w:bookmarkEnd w:id="82"/>
      <w:bookmarkEnd w:id="83"/>
    </w:p>
    <w:p>
      <w:pPr>
        <w:pStyle w:val="21"/>
        <w:bidi w:val="0"/>
        <w:rPr>
          <w:rFonts w:hint="eastAsia"/>
          <w:color w:val="auto"/>
          <w:lang w:eastAsia="zh-CN"/>
        </w:rPr>
      </w:pPr>
      <w:r>
        <w:rPr>
          <w:rFonts w:hint="eastAsia"/>
          <w:color w:val="auto"/>
          <w:lang w:eastAsia="zh-CN"/>
        </w:rPr>
        <w:t>近年来，生态文明建设在全</w:t>
      </w:r>
      <w:r>
        <w:rPr>
          <w:rFonts w:hint="eastAsia"/>
          <w:color w:val="auto"/>
          <w:lang w:val="en-US" w:eastAsia="zh-CN"/>
        </w:rPr>
        <w:t>区</w:t>
      </w:r>
      <w:r>
        <w:rPr>
          <w:rFonts w:hint="eastAsia"/>
          <w:color w:val="auto"/>
          <w:lang w:eastAsia="zh-CN"/>
        </w:rPr>
        <w:t>已受到越来越多的重视，但生态文明理念还不牢固，尊重自然、顺应自然、保护自然的意识还没有真正形成，生态文明认同度、知晓度、参与度还不够高。生态文明理念还未成为广大干部群众的自觉意识和行动，部分领导干部尚未真正树立正确的政绩观，部分企业经营者缺乏社会责任意识和长远发展的战略眼光。因此，作为生态文明高层次的生态文化建设仍有待健全，厉行节约、低碳生活、绿色出行、绿色消费的习惯有待进一步养成。</w:t>
      </w:r>
    </w:p>
    <w:p>
      <w:pPr>
        <w:pStyle w:val="20"/>
        <w:numPr>
          <w:ilvl w:val="1"/>
          <w:numId w:val="0"/>
        </w:numPr>
        <w:bidi w:val="0"/>
        <w:ind w:leftChars="0"/>
        <w:rPr>
          <w:rFonts w:hint="eastAsia" w:ascii="仿宋" w:hAnsi="仿宋" w:eastAsia="仿宋" w:cs="仿宋"/>
          <w:color w:val="auto"/>
          <w:lang w:val="en-US" w:eastAsia="zh-CN"/>
        </w:rPr>
      </w:pPr>
      <w:bookmarkStart w:id="84" w:name="_Toc18332018"/>
      <w:bookmarkStart w:id="85" w:name="_Toc23367"/>
      <w:bookmarkStart w:id="86" w:name="_Toc26204"/>
      <w:bookmarkStart w:id="87" w:name="_Toc132363073"/>
      <w:bookmarkStart w:id="88" w:name="_Toc32109"/>
      <w:bookmarkStart w:id="89" w:name="_Toc32238"/>
      <w:r>
        <w:rPr>
          <w:rFonts w:hint="eastAsia" w:ascii="仿宋" w:hAnsi="仿宋" w:eastAsia="仿宋" w:cs="仿宋"/>
          <w:color w:val="auto"/>
          <w:lang w:val="en-US" w:eastAsia="zh-CN"/>
        </w:rPr>
        <w:t>（二）面临</w:t>
      </w:r>
      <w:bookmarkEnd w:id="84"/>
      <w:r>
        <w:rPr>
          <w:rFonts w:hint="eastAsia" w:ascii="仿宋" w:hAnsi="仿宋" w:eastAsia="仿宋" w:cs="仿宋"/>
          <w:color w:val="auto"/>
          <w:lang w:val="en-US" w:eastAsia="zh-CN"/>
        </w:rPr>
        <w:t>压力</w:t>
      </w:r>
      <w:bookmarkEnd w:id="85"/>
      <w:bookmarkEnd w:id="86"/>
      <w:bookmarkEnd w:id="87"/>
      <w:bookmarkEnd w:id="88"/>
      <w:bookmarkEnd w:id="89"/>
    </w:p>
    <w:p>
      <w:pPr>
        <w:pStyle w:val="21"/>
        <w:keepNext w:val="0"/>
        <w:keepLines w:val="0"/>
        <w:pageBreakBefore w:val="0"/>
        <w:widowControl/>
        <w:numPr>
          <w:ilvl w:val="0"/>
          <w:numId w:val="9"/>
        </w:numPr>
        <w:kinsoku/>
        <w:wordWrap/>
        <w:overflowPunct/>
        <w:topLinePunct w:val="0"/>
        <w:autoSpaceDE/>
        <w:autoSpaceDN/>
        <w:bidi w:val="0"/>
        <w:adjustRightInd/>
        <w:snapToGrid/>
        <w:ind w:left="0" w:leftChars="0" w:firstLine="562" w:firstLineChars="200"/>
        <w:textAlignment w:val="auto"/>
        <w:outlineLvl w:val="2"/>
        <w:rPr>
          <w:rFonts w:hint="default" w:ascii="Times New Roman" w:hAnsi="Times New Roman" w:cs="Times New Roman"/>
          <w:b/>
          <w:bCs/>
          <w:color w:val="auto"/>
          <w:lang w:val="en-US" w:eastAsia="zh-CN"/>
        </w:rPr>
      </w:pPr>
      <w:bookmarkStart w:id="90" w:name="_Toc18500"/>
      <w:bookmarkStart w:id="91" w:name="_Toc20094"/>
      <w:bookmarkStart w:id="92" w:name="_Toc32548"/>
      <w:bookmarkStart w:id="93" w:name="_Toc29862"/>
      <w:bookmarkStart w:id="94" w:name="_Toc12275"/>
      <w:bookmarkStart w:id="95" w:name="_Toc8634"/>
      <w:bookmarkStart w:id="96" w:name="_Toc5353"/>
      <w:r>
        <w:rPr>
          <w:rFonts w:hint="eastAsia" w:ascii="Times New Roman" w:hAnsi="Times New Roman" w:cs="Times New Roman"/>
          <w:b/>
          <w:bCs/>
          <w:color w:val="auto"/>
          <w:lang w:val="en-US" w:eastAsia="zh-CN"/>
        </w:rPr>
        <w:t>资源</w:t>
      </w:r>
      <w:r>
        <w:rPr>
          <w:rFonts w:hint="default" w:ascii="Times New Roman" w:hAnsi="Times New Roman" w:cs="Times New Roman"/>
          <w:b/>
          <w:bCs/>
          <w:color w:val="auto"/>
          <w:lang w:val="en-US" w:eastAsia="zh-CN"/>
        </w:rPr>
        <w:t>利用压力分析</w:t>
      </w:r>
      <w:bookmarkEnd w:id="90"/>
      <w:bookmarkEnd w:id="91"/>
      <w:bookmarkEnd w:id="92"/>
      <w:bookmarkEnd w:id="93"/>
      <w:bookmarkEnd w:id="94"/>
      <w:bookmarkEnd w:id="95"/>
      <w:bookmarkEnd w:id="96"/>
    </w:p>
    <w:p>
      <w:pPr>
        <w:pStyle w:val="21"/>
        <w:bidi w:val="0"/>
        <w:rPr>
          <w:rFonts w:hint="default"/>
          <w:color w:val="auto"/>
          <w:lang w:val="en-US" w:eastAsia="zh-CN"/>
        </w:rPr>
      </w:pPr>
      <w:r>
        <w:rPr>
          <w:rFonts w:hint="eastAsia"/>
          <w:color w:val="auto"/>
          <w:lang w:val="en-US" w:eastAsia="zh-CN"/>
        </w:rPr>
        <w:t>（1）水资源</w:t>
      </w:r>
      <w:r>
        <w:rPr>
          <w:rFonts w:hint="default"/>
          <w:color w:val="auto"/>
          <w:lang w:val="en-US" w:eastAsia="zh-CN"/>
        </w:rPr>
        <w:t>利用压力分析</w:t>
      </w:r>
    </w:p>
    <w:p>
      <w:pPr>
        <w:pStyle w:val="21"/>
        <w:rPr>
          <w:rFonts w:hint="eastAsia"/>
          <w:color w:val="auto"/>
          <w:lang w:val="en-US" w:eastAsia="zh-CN"/>
        </w:rPr>
      </w:pPr>
      <w:r>
        <w:rPr>
          <w:rFonts w:hint="eastAsia"/>
          <w:color w:val="auto"/>
          <w:lang w:val="en-US" w:eastAsia="zh-CN"/>
        </w:rPr>
        <w:t>根据《南昌市</w:t>
      </w:r>
      <w:r>
        <w:rPr>
          <w:rFonts w:hint="default"/>
          <w:color w:val="auto"/>
          <w:lang w:val="en-US" w:eastAsia="zh-CN"/>
        </w:rPr>
        <w:t>水利厅</w:t>
      </w:r>
      <w:r>
        <w:rPr>
          <w:rFonts w:hint="eastAsia"/>
          <w:color w:val="auto"/>
          <w:lang w:val="en-US" w:eastAsia="zh-CN"/>
        </w:rPr>
        <w:t xml:space="preserve"> 南昌市</w:t>
      </w:r>
      <w:r>
        <w:rPr>
          <w:rFonts w:hint="default"/>
          <w:color w:val="auto"/>
          <w:lang w:val="en-US" w:eastAsia="zh-CN"/>
        </w:rPr>
        <w:t>发展改革委</w:t>
      </w:r>
      <w:r>
        <w:rPr>
          <w:rFonts w:hint="eastAsia"/>
          <w:color w:val="auto"/>
          <w:lang w:val="en-US" w:eastAsia="zh-CN"/>
        </w:rPr>
        <w:t>关于印发南昌市“十四五”用水总量和强度双控目标的通知》</w:t>
      </w:r>
      <w:r>
        <w:rPr>
          <w:rFonts w:hint="default"/>
          <w:color w:val="auto"/>
          <w:lang w:val="en-US" w:eastAsia="zh-CN"/>
        </w:rPr>
        <w:t>（</w:t>
      </w:r>
      <w:r>
        <w:rPr>
          <w:rFonts w:hint="eastAsia"/>
          <w:color w:val="auto"/>
          <w:lang w:val="en-US" w:eastAsia="zh-CN"/>
        </w:rPr>
        <w:t>洪</w:t>
      </w:r>
      <w:r>
        <w:rPr>
          <w:rFonts w:hint="default"/>
          <w:color w:val="auto"/>
          <w:lang w:val="en-US" w:eastAsia="zh-CN"/>
        </w:rPr>
        <w:t>水资源字〔20</w:t>
      </w:r>
      <w:r>
        <w:rPr>
          <w:rFonts w:hint="eastAsia"/>
          <w:color w:val="auto"/>
          <w:lang w:val="en-US" w:eastAsia="zh-CN"/>
        </w:rPr>
        <w:t>22</w:t>
      </w:r>
      <w:r>
        <w:rPr>
          <w:rFonts w:hint="default"/>
          <w:color w:val="auto"/>
          <w:lang w:val="en-US" w:eastAsia="zh-CN"/>
        </w:rPr>
        <w:t>〕</w:t>
      </w:r>
      <w:r>
        <w:rPr>
          <w:rFonts w:hint="eastAsia"/>
          <w:color w:val="auto"/>
          <w:lang w:val="en-US" w:eastAsia="zh-CN"/>
        </w:rPr>
        <w:t>23</w:t>
      </w:r>
      <w:r>
        <w:rPr>
          <w:rFonts w:hint="default"/>
          <w:color w:val="auto"/>
          <w:lang w:val="en-US" w:eastAsia="zh-CN"/>
        </w:rPr>
        <w:t>号）</w:t>
      </w:r>
      <w:r>
        <w:rPr>
          <w:rFonts w:hint="eastAsia"/>
          <w:color w:val="auto"/>
          <w:lang w:val="en-US" w:eastAsia="zh-CN"/>
        </w:rPr>
        <w:t>，</w:t>
      </w:r>
      <w:r>
        <w:rPr>
          <w:rFonts w:hint="default"/>
          <w:color w:val="auto"/>
          <w:lang w:val="en-US" w:eastAsia="zh-CN"/>
        </w:rPr>
        <w:t>20</w:t>
      </w:r>
      <w:r>
        <w:rPr>
          <w:rFonts w:hint="eastAsia"/>
          <w:color w:val="auto"/>
          <w:lang w:val="en-US" w:eastAsia="zh-CN"/>
        </w:rPr>
        <w:t>25</w:t>
      </w:r>
      <w:r>
        <w:rPr>
          <w:rFonts w:hint="default"/>
          <w:color w:val="auto"/>
          <w:lang w:val="en-US" w:eastAsia="zh-CN"/>
        </w:rPr>
        <w:t>年底，</w:t>
      </w:r>
      <w:r>
        <w:rPr>
          <w:rFonts w:hint="eastAsia"/>
          <w:color w:val="auto"/>
          <w:lang w:val="en-US" w:eastAsia="zh-CN"/>
        </w:rPr>
        <w:t>红谷滩区</w:t>
      </w:r>
      <w:r>
        <w:rPr>
          <w:rFonts w:hint="default"/>
          <w:color w:val="auto"/>
          <w:lang w:val="en-US" w:eastAsia="zh-CN"/>
        </w:rPr>
        <w:t>年用水总量控制在</w:t>
      </w:r>
      <w:r>
        <w:rPr>
          <w:rFonts w:hint="eastAsia"/>
          <w:color w:val="auto"/>
          <w:lang w:val="en-US" w:eastAsia="zh-CN"/>
        </w:rPr>
        <w:t>1.12</w:t>
      </w:r>
      <w:r>
        <w:rPr>
          <w:rFonts w:hint="default"/>
          <w:color w:val="auto"/>
          <w:lang w:val="en-US" w:eastAsia="zh-CN"/>
        </w:rPr>
        <w:t>亿m</w:t>
      </w:r>
      <w:r>
        <w:rPr>
          <w:rFonts w:hint="default"/>
          <w:color w:val="auto"/>
          <w:vertAlign w:val="superscript"/>
          <w:lang w:val="en-US" w:eastAsia="zh-CN"/>
        </w:rPr>
        <w:t>3</w:t>
      </w:r>
      <w:r>
        <w:rPr>
          <w:rFonts w:hint="default"/>
          <w:color w:val="auto"/>
          <w:lang w:val="en-US" w:eastAsia="zh-CN"/>
        </w:rPr>
        <w:t>以内</w:t>
      </w:r>
      <w:r>
        <w:rPr>
          <w:rFonts w:hint="eastAsia"/>
          <w:color w:val="auto"/>
          <w:lang w:val="en-US" w:eastAsia="zh-CN"/>
        </w:rPr>
        <w:t>。红谷滩区2022年</w:t>
      </w:r>
      <w:r>
        <w:rPr>
          <w:rFonts w:hint="default"/>
          <w:color w:val="auto"/>
          <w:lang w:val="en-US" w:eastAsia="zh-CN"/>
        </w:rPr>
        <w:t>年用水总量为</w:t>
      </w:r>
      <w:r>
        <w:rPr>
          <w:rFonts w:hint="eastAsia"/>
          <w:color w:val="auto"/>
          <w:lang w:val="en-US" w:eastAsia="zh-CN"/>
        </w:rPr>
        <w:t>1.0906</w:t>
      </w:r>
      <w:r>
        <w:rPr>
          <w:rFonts w:hint="default"/>
          <w:color w:val="auto"/>
          <w:lang w:val="en-US" w:eastAsia="zh-CN"/>
        </w:rPr>
        <w:t xml:space="preserve"> 亿m</w:t>
      </w:r>
      <w:r>
        <w:rPr>
          <w:rFonts w:hint="default"/>
          <w:color w:val="auto"/>
          <w:vertAlign w:val="superscript"/>
          <w:lang w:val="en-US" w:eastAsia="zh-CN"/>
        </w:rPr>
        <w:t>3</w:t>
      </w:r>
      <w:r>
        <w:rPr>
          <w:rFonts w:hint="eastAsia"/>
          <w:color w:val="auto"/>
          <w:lang w:val="en-US" w:eastAsia="zh-CN"/>
        </w:rPr>
        <w:t>，节水压力较大。形成健全的节水政策法规体系、完善的市场调节机制、先进的技术支撑体系，节水护水惜水成为全社会自觉行动，逐步形成水资源利用与发展规模、产业结构和空间布局等协调发展的现代化新格局。在规划期内，提高万元工业增加值用水量、健全节水政策法规体系、完善市场调节机制对减轻红谷滩区水资源压力尤为重要。</w:t>
      </w:r>
    </w:p>
    <w:p>
      <w:pPr>
        <w:pStyle w:val="21"/>
        <w:bidi w:val="0"/>
        <w:rPr>
          <w:rFonts w:hint="default"/>
          <w:color w:val="auto"/>
          <w:lang w:val="en-US" w:eastAsia="zh-CN"/>
        </w:rPr>
      </w:pPr>
      <w:r>
        <w:rPr>
          <w:rFonts w:hint="eastAsia"/>
          <w:color w:val="auto"/>
          <w:lang w:val="en-US" w:eastAsia="zh-CN"/>
        </w:rPr>
        <w:t>（2）土地</w:t>
      </w:r>
      <w:r>
        <w:rPr>
          <w:rFonts w:hint="default"/>
          <w:color w:val="auto"/>
          <w:lang w:val="en-US" w:eastAsia="zh-CN"/>
        </w:rPr>
        <w:t>利用压力分析</w:t>
      </w:r>
    </w:p>
    <w:p>
      <w:pPr>
        <w:pStyle w:val="21"/>
        <w:bidi w:val="0"/>
        <w:rPr>
          <w:rFonts w:hint="default"/>
          <w:color w:val="auto"/>
          <w:lang w:val="en-US" w:eastAsia="zh-CN"/>
        </w:rPr>
      </w:pPr>
      <w:r>
        <w:rPr>
          <w:rFonts w:hint="eastAsia"/>
          <w:color w:val="auto"/>
          <w:lang w:val="en-US" w:eastAsia="zh-CN"/>
        </w:rPr>
        <w:t>规划基准年2022年，红谷滩区GDP为</w:t>
      </w:r>
      <w:r>
        <w:rPr>
          <w:rFonts w:hint="default"/>
          <w:color w:val="auto"/>
          <w:lang w:val="en-US" w:eastAsia="zh-CN"/>
        </w:rPr>
        <w:t>802.27亿元</w:t>
      </w:r>
      <w:r>
        <w:rPr>
          <w:rFonts w:hint="eastAsia"/>
          <w:color w:val="auto"/>
          <w:lang w:val="en-US" w:eastAsia="zh-CN"/>
        </w:rPr>
        <w:t>，建设用地面积为180707.7</w:t>
      </w:r>
      <w:r>
        <w:rPr>
          <w:rFonts w:hint="default"/>
          <w:color w:val="auto"/>
          <w:lang w:val="en-US" w:eastAsia="zh-CN"/>
        </w:rPr>
        <w:t>公顷</w:t>
      </w:r>
      <w:r>
        <w:rPr>
          <w:rFonts w:hint="eastAsia"/>
          <w:color w:val="auto"/>
          <w:lang w:val="en-US" w:eastAsia="zh-CN"/>
        </w:rPr>
        <w:t>。根据《红谷滩区国民经济和社会发展第十四个五年规划和二〇三五年远景目标纲要》，2025年GDP为</w:t>
      </w:r>
      <w:r>
        <w:rPr>
          <w:rFonts w:hint="default"/>
          <w:color w:val="auto"/>
          <w:lang w:val="en-US" w:eastAsia="zh-CN"/>
        </w:rPr>
        <w:t>950亿元</w:t>
      </w:r>
      <w:r>
        <w:rPr>
          <w:rFonts w:hint="eastAsia"/>
          <w:color w:val="auto"/>
          <w:lang w:val="en-US" w:eastAsia="zh-CN"/>
        </w:rPr>
        <w:t>，预测经济增速保持相同，2030年GDP为1360</w:t>
      </w:r>
      <w:r>
        <w:rPr>
          <w:rFonts w:hint="default"/>
          <w:color w:val="auto"/>
          <w:lang w:val="en-US" w:eastAsia="zh-CN"/>
        </w:rPr>
        <w:t>亿元</w:t>
      </w:r>
      <w:r>
        <w:rPr>
          <w:rFonts w:hint="eastAsia"/>
          <w:color w:val="auto"/>
          <w:lang w:val="en-US" w:eastAsia="zh-CN"/>
        </w:rPr>
        <w:t>。根据近两年建设用地增幅预测，2025年建设用地规模为189689.13公顷，2030年建设用地规模为205661.06公顷。2025年红谷滩区</w:t>
      </w:r>
      <w:r>
        <w:rPr>
          <w:rFonts w:hint="default"/>
          <w:color w:val="auto"/>
          <w:lang w:val="en-US" w:eastAsia="zh-CN"/>
        </w:rPr>
        <w:t>单位国内生产总值建设用地使用面积</w:t>
      </w:r>
      <w:r>
        <w:rPr>
          <w:rFonts w:hint="eastAsia"/>
          <w:color w:val="auto"/>
          <w:lang w:val="en-US" w:eastAsia="zh-CN"/>
        </w:rPr>
        <w:t>为199.67公顷/亩，2030年红谷滩区</w:t>
      </w:r>
      <w:r>
        <w:rPr>
          <w:rFonts w:hint="default"/>
          <w:color w:val="auto"/>
          <w:lang w:val="en-US" w:eastAsia="zh-CN"/>
        </w:rPr>
        <w:t>单位国内生产总值建设用地使用面积</w:t>
      </w:r>
      <w:r>
        <w:rPr>
          <w:rFonts w:hint="eastAsia"/>
          <w:color w:val="auto"/>
          <w:lang w:val="en-US" w:eastAsia="zh-CN"/>
        </w:rPr>
        <w:t>为151.22公顷/亩，相较基准年，2025年和2030年</w:t>
      </w:r>
      <w:r>
        <w:rPr>
          <w:rFonts w:hint="default"/>
          <w:color w:val="auto"/>
          <w:lang w:val="en-US" w:eastAsia="zh-CN"/>
        </w:rPr>
        <w:t>单位国内生产总值建设用地使用面积下降率</w:t>
      </w:r>
      <w:r>
        <w:rPr>
          <w:rFonts w:hint="eastAsia"/>
          <w:color w:val="auto"/>
          <w:lang w:val="en-US" w:eastAsia="zh-CN"/>
        </w:rPr>
        <w:t>分别为3.94%和4.86%。为了实现经济如期增长的同时有效遏制建设用地规模的扩张，红谷滩区需实现2025年单位国内生产总值（GDP）建设用地使用面积下降1.75%。</w:t>
      </w:r>
    </w:p>
    <w:p>
      <w:pPr>
        <w:pStyle w:val="21"/>
        <w:keepNext w:val="0"/>
        <w:keepLines w:val="0"/>
        <w:pageBreakBefore w:val="0"/>
        <w:widowControl/>
        <w:numPr>
          <w:ilvl w:val="0"/>
          <w:numId w:val="9"/>
        </w:numPr>
        <w:kinsoku/>
        <w:wordWrap/>
        <w:overflowPunct/>
        <w:topLinePunct w:val="0"/>
        <w:autoSpaceDE/>
        <w:autoSpaceDN/>
        <w:bidi w:val="0"/>
        <w:adjustRightInd/>
        <w:snapToGrid/>
        <w:ind w:left="0" w:leftChars="0" w:firstLine="562" w:firstLineChars="200"/>
        <w:textAlignment w:val="auto"/>
        <w:outlineLvl w:val="2"/>
        <w:rPr>
          <w:rFonts w:hint="default" w:ascii="Times New Roman" w:hAnsi="Times New Roman" w:cs="Times New Roman"/>
          <w:b/>
          <w:bCs/>
          <w:color w:val="auto"/>
          <w:lang w:val="en-US" w:eastAsia="zh-CN"/>
        </w:rPr>
      </w:pPr>
      <w:bookmarkStart w:id="97" w:name="_Toc19367"/>
      <w:bookmarkStart w:id="98" w:name="_Toc14911"/>
      <w:bookmarkStart w:id="99" w:name="_Toc21181"/>
      <w:bookmarkStart w:id="100" w:name="_Toc9686"/>
      <w:bookmarkStart w:id="101" w:name="_Toc3534"/>
      <w:bookmarkStart w:id="102" w:name="_Toc32171"/>
      <w:bookmarkStart w:id="103" w:name="_Toc16182"/>
      <w:r>
        <w:rPr>
          <w:rFonts w:hint="default" w:ascii="Times New Roman" w:hAnsi="Times New Roman" w:cs="Times New Roman"/>
          <w:b/>
          <w:bCs/>
          <w:color w:val="auto"/>
          <w:lang w:val="en-US" w:eastAsia="zh-CN"/>
        </w:rPr>
        <w:t>环境设施压力分析</w:t>
      </w:r>
      <w:bookmarkEnd w:id="97"/>
      <w:bookmarkEnd w:id="98"/>
      <w:bookmarkEnd w:id="99"/>
      <w:bookmarkEnd w:id="100"/>
      <w:bookmarkEnd w:id="101"/>
      <w:bookmarkEnd w:id="102"/>
      <w:bookmarkEnd w:id="103"/>
    </w:p>
    <w:p>
      <w:pPr>
        <w:pStyle w:val="21"/>
        <w:bidi w:val="0"/>
        <w:rPr>
          <w:rFonts w:hint="default"/>
          <w:color w:val="auto"/>
          <w:lang w:val="en-US" w:eastAsia="zh-CN"/>
        </w:rPr>
      </w:pPr>
      <w:r>
        <w:rPr>
          <w:rFonts w:hint="eastAsia"/>
          <w:color w:val="auto"/>
          <w:lang w:val="en-US" w:eastAsia="zh-CN"/>
        </w:rPr>
        <w:t>红谷滩区</w:t>
      </w:r>
      <w:r>
        <w:rPr>
          <w:rFonts w:hint="default"/>
          <w:color w:val="auto"/>
          <w:lang w:val="en-US" w:eastAsia="zh-CN"/>
        </w:rPr>
        <w:t>目前已建成的城镇污水处理设施总处理规模约为</w:t>
      </w:r>
      <w:r>
        <w:rPr>
          <w:rFonts w:hint="eastAsia"/>
          <w:color w:val="auto"/>
          <w:lang w:val="en-US" w:eastAsia="zh-CN"/>
        </w:rPr>
        <w:t>49</w:t>
      </w:r>
      <w:r>
        <w:rPr>
          <w:rFonts w:hint="default"/>
          <w:color w:val="auto"/>
          <w:lang w:val="en-US" w:eastAsia="zh-CN"/>
        </w:rPr>
        <w:t>万吨/天，</w:t>
      </w:r>
      <w:r>
        <w:rPr>
          <w:rFonts w:hint="eastAsia"/>
          <w:color w:val="auto"/>
          <w:lang w:val="en-US" w:eastAsia="zh-CN"/>
        </w:rPr>
        <w:t>2021年实际污水处理厂总处理量为33.7</w:t>
      </w:r>
      <w:r>
        <w:rPr>
          <w:rFonts w:hint="default"/>
          <w:color w:val="auto"/>
          <w:lang w:val="en-US" w:eastAsia="zh-CN"/>
        </w:rPr>
        <w:t>万吨/天，</w:t>
      </w:r>
      <w:r>
        <w:rPr>
          <w:rFonts w:hint="eastAsia"/>
          <w:color w:val="auto"/>
          <w:lang w:val="en-US" w:eastAsia="zh-CN"/>
        </w:rPr>
        <w:t>根据人口增长率及城镇化率预测，</w:t>
      </w:r>
      <w:r>
        <w:rPr>
          <w:rFonts w:hint="default"/>
          <w:color w:val="auto"/>
          <w:lang w:val="en-US" w:eastAsia="zh-CN"/>
        </w:rPr>
        <w:t>2025年</w:t>
      </w:r>
      <w:r>
        <w:rPr>
          <w:rFonts w:hint="eastAsia"/>
          <w:color w:val="auto"/>
          <w:lang w:val="en-US" w:eastAsia="zh-CN"/>
        </w:rPr>
        <w:t>和2030年红谷滩区</w:t>
      </w:r>
      <w:r>
        <w:rPr>
          <w:rFonts w:hint="default"/>
          <w:color w:val="auto"/>
          <w:lang w:val="en-US" w:eastAsia="zh-CN"/>
        </w:rPr>
        <w:t>城镇生活污水</w:t>
      </w:r>
      <w:r>
        <w:rPr>
          <w:rFonts w:hint="eastAsia"/>
          <w:color w:val="auto"/>
          <w:lang w:val="en-US" w:eastAsia="zh-CN"/>
        </w:rPr>
        <w:t>增加量（相较于2021年）分别为2.71万吨和7.19</w:t>
      </w:r>
      <w:r>
        <w:rPr>
          <w:rFonts w:hint="default"/>
          <w:color w:val="auto"/>
          <w:lang w:val="en-US" w:eastAsia="zh-CN"/>
        </w:rPr>
        <w:t>万吨/天，</w:t>
      </w:r>
      <w:r>
        <w:rPr>
          <w:rFonts w:hint="eastAsia"/>
          <w:color w:val="auto"/>
          <w:lang w:val="en-US" w:eastAsia="zh-CN"/>
        </w:rPr>
        <w:t>污水处理厂可满足规划期持续增长的生活污水处理需求</w:t>
      </w:r>
      <w:r>
        <w:rPr>
          <w:rFonts w:hint="default"/>
          <w:color w:val="auto"/>
          <w:lang w:val="en-US" w:eastAsia="zh-CN"/>
        </w:rPr>
        <w:t>。</w:t>
      </w:r>
      <w:r>
        <w:rPr>
          <w:rFonts w:hint="eastAsia"/>
          <w:color w:val="auto"/>
          <w:lang w:val="en-US" w:eastAsia="zh-CN"/>
        </w:rPr>
        <w:t>但红谷滩区</w:t>
      </w:r>
      <w:r>
        <w:rPr>
          <w:rFonts w:hint="default"/>
          <w:color w:val="auto"/>
          <w:lang w:val="en-US" w:eastAsia="zh-CN"/>
        </w:rPr>
        <w:t>农村生活污水处理设施基础薄弱</w:t>
      </w:r>
      <w:r>
        <w:rPr>
          <w:rFonts w:hint="eastAsia"/>
          <w:color w:val="auto"/>
          <w:lang w:val="en-US" w:eastAsia="zh-CN"/>
        </w:rPr>
        <w:t>，农村生活污水治理率仅为37%</w:t>
      </w:r>
      <w:r>
        <w:rPr>
          <w:rFonts w:hint="default"/>
          <w:color w:val="auto"/>
          <w:lang w:val="en-US" w:eastAsia="zh-CN"/>
        </w:rPr>
        <w:t>，生活污水收集处理系统缺失的问题依然存在。随着人口增多，生活垃圾产生量也越来越大，</w:t>
      </w:r>
      <w:r>
        <w:rPr>
          <w:rFonts w:hint="eastAsia"/>
          <w:color w:val="auto"/>
          <w:lang w:val="en-US" w:eastAsia="zh-CN"/>
        </w:rPr>
        <w:t>虽然红谷滩区在城乡生活垃圾减量方面做了大量工作，但是自垃圾全面实行焚烧发电，以及城区垃圾中转站的改造，大件垃圾无处倾倒已对城区的环境卫生造成了极大的困扰，</w:t>
      </w:r>
      <w:r>
        <w:rPr>
          <w:rFonts w:hint="default"/>
          <w:color w:val="auto"/>
          <w:lang w:val="en-US" w:eastAsia="zh-CN"/>
        </w:rPr>
        <w:t>垃圾分类减量化水平仍有待提升。</w:t>
      </w:r>
    </w:p>
    <w:p>
      <w:pPr>
        <w:rPr>
          <w:rFonts w:hint="eastAsia" w:ascii="Times New Roman" w:hAnsi="Times New Roman"/>
          <w:color w:val="auto"/>
          <w:lang w:val="en-US" w:eastAsia="zh-CN"/>
        </w:rPr>
      </w:pPr>
      <w:bookmarkStart w:id="104" w:name="_Toc132363078"/>
      <w:r>
        <w:rPr>
          <w:rFonts w:hint="eastAsia" w:ascii="Times New Roman" w:hAnsi="Times New Roman"/>
          <w:color w:val="auto"/>
          <w:lang w:val="en-US" w:eastAsia="zh-CN"/>
        </w:rPr>
        <w:br w:type="page"/>
      </w:r>
    </w:p>
    <w:p>
      <w:pPr>
        <w:pStyle w:val="19"/>
        <w:bidi w:val="0"/>
        <w:ind w:left="0" w:leftChars="0"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 xml:space="preserve">  </w:t>
      </w:r>
      <w:bookmarkStart w:id="105" w:name="_Toc32651"/>
      <w:bookmarkStart w:id="106" w:name="_Toc9270"/>
      <w:bookmarkStart w:id="107" w:name="_Toc4341"/>
      <w:bookmarkStart w:id="108" w:name="_Toc5144"/>
      <w:r>
        <w:rPr>
          <w:rFonts w:hint="eastAsia" w:ascii="Times New Roman" w:hAnsi="Times New Roman"/>
          <w:color w:val="auto"/>
          <w:lang w:val="en-US" w:eastAsia="zh-CN"/>
        </w:rPr>
        <w:t>规划总则</w:t>
      </w:r>
      <w:bookmarkEnd w:id="104"/>
      <w:bookmarkEnd w:id="105"/>
      <w:bookmarkEnd w:id="106"/>
      <w:bookmarkEnd w:id="107"/>
      <w:bookmarkEnd w:id="108"/>
    </w:p>
    <w:p>
      <w:pPr>
        <w:pStyle w:val="20"/>
        <w:numPr>
          <w:ilvl w:val="1"/>
          <w:numId w:val="0"/>
        </w:numPr>
        <w:bidi w:val="0"/>
        <w:ind w:leftChars="0"/>
        <w:rPr>
          <w:rFonts w:hint="eastAsia" w:ascii="仿宋" w:hAnsi="仿宋" w:eastAsia="仿宋" w:cs="仿宋"/>
          <w:color w:val="auto"/>
          <w:lang w:val="en-US" w:eastAsia="zh-CN"/>
        </w:rPr>
      </w:pPr>
      <w:bookmarkStart w:id="109" w:name="_Toc23159"/>
      <w:bookmarkStart w:id="110" w:name="_Toc25027"/>
      <w:bookmarkStart w:id="111" w:name="_Toc18332020"/>
      <w:bookmarkStart w:id="112" w:name="_Toc3282"/>
      <w:bookmarkStart w:id="113" w:name="_Toc6208"/>
      <w:bookmarkStart w:id="114" w:name="_Toc132363079"/>
      <w:r>
        <w:rPr>
          <w:rFonts w:hint="eastAsia" w:ascii="仿宋" w:hAnsi="仿宋" w:eastAsia="仿宋" w:cs="仿宋"/>
          <w:color w:val="auto"/>
          <w:lang w:val="en-US" w:eastAsia="zh-CN"/>
        </w:rPr>
        <w:t>（一）指导思想</w:t>
      </w:r>
      <w:bookmarkEnd w:id="109"/>
      <w:bookmarkEnd w:id="110"/>
      <w:bookmarkEnd w:id="111"/>
      <w:bookmarkEnd w:id="112"/>
      <w:bookmarkEnd w:id="113"/>
      <w:bookmarkEnd w:id="114"/>
    </w:p>
    <w:p>
      <w:pPr>
        <w:pStyle w:val="21"/>
        <w:bidi w:val="0"/>
        <w:rPr>
          <w:rFonts w:hint="eastAsia"/>
          <w:color w:val="auto"/>
        </w:rPr>
      </w:pPr>
      <w:r>
        <w:rPr>
          <w:rFonts w:hint="eastAsia"/>
          <w:color w:val="auto"/>
        </w:rPr>
        <w:t>以习近平新时代中国特色社会主义思想为指导，全面贯彻党的</w:t>
      </w:r>
      <w:r>
        <w:rPr>
          <w:rFonts w:hint="eastAsia"/>
          <w:color w:val="auto"/>
          <w:lang w:val="en-US" w:eastAsia="zh-CN"/>
        </w:rPr>
        <w:t>二十</w:t>
      </w:r>
      <w:r>
        <w:rPr>
          <w:rFonts w:hint="eastAsia"/>
          <w:color w:val="auto"/>
        </w:rPr>
        <w:t>大、</w:t>
      </w:r>
      <w:r>
        <w:rPr>
          <w:rFonts w:hint="eastAsia"/>
          <w:color w:val="auto"/>
          <w:lang w:val="en-US" w:eastAsia="zh-CN"/>
        </w:rPr>
        <w:t>二十届一中、二中</w:t>
      </w:r>
      <w:r>
        <w:rPr>
          <w:rFonts w:hint="eastAsia"/>
          <w:color w:val="auto"/>
        </w:rPr>
        <w:t>全会精神，深入贯彻习近平生态文明思想，</w:t>
      </w:r>
      <w:r>
        <w:rPr>
          <w:rFonts w:hint="eastAsia"/>
          <w:color w:val="auto"/>
          <w:lang w:val="en-US" w:eastAsia="zh-CN"/>
        </w:rPr>
        <w:t>牢固树立和践行“绿水青山就是金山银山”理念，</w:t>
      </w:r>
      <w:r>
        <w:rPr>
          <w:rFonts w:hint="eastAsia"/>
          <w:color w:val="auto"/>
        </w:rPr>
        <w:t>全面落实党中央、国务院关于生态环境保护工作的决策部署和总书记</w:t>
      </w:r>
      <w:r>
        <w:rPr>
          <w:rFonts w:hint="eastAsia"/>
          <w:color w:val="auto"/>
          <w:lang w:val="en-US" w:eastAsia="zh-CN"/>
        </w:rPr>
        <w:t>考察</w:t>
      </w:r>
      <w:r>
        <w:rPr>
          <w:rFonts w:hint="eastAsia"/>
          <w:color w:val="auto"/>
        </w:rPr>
        <w:t>江西的重要讲话精神，以持续改善生态环境质量为目标，</w:t>
      </w:r>
      <w:r>
        <w:rPr>
          <w:rFonts w:hint="eastAsia"/>
          <w:color w:val="auto"/>
          <w:lang w:val="en-US" w:eastAsia="zh-CN"/>
        </w:rPr>
        <w:t>以建设生态文明示范区为抓手，</w:t>
      </w:r>
      <w:r>
        <w:rPr>
          <w:rFonts w:hint="eastAsia"/>
          <w:color w:val="auto"/>
        </w:rPr>
        <w:t>以生态环境治理体系和治理能力现代化为支撑，做好</w:t>
      </w:r>
      <w:r>
        <w:rPr>
          <w:rFonts w:hint="eastAsia"/>
          <w:color w:val="auto"/>
          <w:lang w:val="en-US" w:eastAsia="zh-CN"/>
        </w:rPr>
        <w:t>区域</w:t>
      </w:r>
      <w:r>
        <w:rPr>
          <w:rFonts w:hint="eastAsia"/>
          <w:color w:val="auto"/>
        </w:rPr>
        <w:t>生态环境保护，</w:t>
      </w:r>
      <w:r>
        <w:rPr>
          <w:rFonts w:hint="eastAsia"/>
          <w:color w:val="auto"/>
          <w:lang w:val="en-US" w:eastAsia="zh-CN"/>
        </w:rPr>
        <w:t>大力发展生态经济，培养生态文化，提升区域生态影响力，把区域建设成为生态制度健全、生态安全良好、生态空间合理、生态经济发达、生态生活舒适、生态文化繁荣的江西省生态文明建设示范县、国家生态文明建设示范区。</w:t>
      </w:r>
    </w:p>
    <w:p>
      <w:pPr>
        <w:pStyle w:val="20"/>
        <w:numPr>
          <w:ilvl w:val="1"/>
          <w:numId w:val="0"/>
        </w:numPr>
        <w:bidi w:val="0"/>
        <w:ind w:leftChars="0"/>
        <w:rPr>
          <w:rFonts w:hint="eastAsia" w:ascii="仿宋" w:hAnsi="仿宋" w:eastAsia="仿宋" w:cs="仿宋"/>
          <w:color w:val="auto"/>
          <w:lang w:val="en-US" w:eastAsia="zh-CN"/>
        </w:rPr>
      </w:pPr>
      <w:bookmarkStart w:id="115" w:name="_Toc22243"/>
      <w:bookmarkStart w:id="116" w:name="_Toc19058"/>
      <w:bookmarkStart w:id="117" w:name="_Toc16301"/>
      <w:bookmarkStart w:id="118" w:name="_Toc132363080"/>
      <w:bookmarkStart w:id="119" w:name="_Toc18332021"/>
      <w:bookmarkStart w:id="120" w:name="_Toc18865"/>
      <w:r>
        <w:rPr>
          <w:rFonts w:hint="eastAsia" w:ascii="仿宋" w:hAnsi="仿宋" w:eastAsia="仿宋" w:cs="仿宋"/>
          <w:color w:val="auto"/>
          <w:lang w:val="en-US" w:eastAsia="zh-CN"/>
        </w:rPr>
        <w:t>（二）基本原则</w:t>
      </w:r>
      <w:bookmarkEnd w:id="115"/>
      <w:bookmarkEnd w:id="116"/>
      <w:bookmarkEnd w:id="117"/>
      <w:bookmarkEnd w:id="118"/>
      <w:bookmarkEnd w:id="119"/>
      <w:bookmarkEnd w:id="120"/>
    </w:p>
    <w:p>
      <w:pPr>
        <w:pStyle w:val="21"/>
        <w:bidi w:val="0"/>
        <w:rPr>
          <w:rFonts w:hint="eastAsia"/>
          <w:b/>
          <w:bCs/>
          <w:color w:val="auto"/>
        </w:rPr>
      </w:pPr>
      <w:r>
        <w:rPr>
          <w:rStyle w:val="22"/>
          <w:rFonts w:hint="eastAsia"/>
          <w:b/>
          <w:bCs/>
          <w:color w:val="auto"/>
          <w:lang w:eastAsia="zh-CN"/>
        </w:rPr>
        <w:t>以人为本，可观可感。</w:t>
      </w:r>
      <w:r>
        <w:rPr>
          <w:rStyle w:val="22"/>
          <w:rFonts w:hint="eastAsia"/>
          <w:color w:val="auto"/>
          <w:lang w:eastAsia="zh-CN"/>
        </w:rPr>
        <w:t>坚持人与自然和谐共生理念，积极回应群众关切，着力补短板、强弱项，提升城区品质，既塑造可观的“外在美”，又提升可感的“内在美”，落实好各项生态文明建设工作。</w:t>
      </w:r>
    </w:p>
    <w:p>
      <w:pPr>
        <w:pStyle w:val="21"/>
        <w:bidi w:val="0"/>
        <w:rPr>
          <w:rFonts w:hint="eastAsia"/>
          <w:color w:val="auto"/>
        </w:rPr>
      </w:pPr>
      <w:r>
        <w:rPr>
          <w:rFonts w:hint="eastAsia"/>
          <w:b/>
          <w:bCs/>
          <w:color w:val="auto"/>
        </w:rPr>
        <w:t>坚持生态优先，绿色发展。</w:t>
      </w:r>
      <w:r>
        <w:rPr>
          <w:rFonts w:hint="eastAsia"/>
          <w:color w:val="auto"/>
        </w:rPr>
        <w:t>严守</w:t>
      </w:r>
      <w:r>
        <w:rPr>
          <w:rFonts w:hint="eastAsia"/>
          <w:color w:val="auto"/>
          <w:lang w:val="en-US" w:eastAsia="zh-CN"/>
        </w:rPr>
        <w:t>红谷滩</w:t>
      </w:r>
      <w:r>
        <w:rPr>
          <w:rFonts w:hint="eastAsia"/>
          <w:color w:val="auto"/>
        </w:rPr>
        <w:t>区生态红线，以生态环境优化经济增长，</w:t>
      </w:r>
      <w:r>
        <w:rPr>
          <w:rFonts w:hint="eastAsia"/>
          <w:color w:val="auto"/>
          <w:lang w:eastAsia="zh-CN"/>
        </w:rPr>
        <w:t>统筹推进经济生态化与生态经济化，加快形成绿色发展方式和生活方式。</w:t>
      </w:r>
    </w:p>
    <w:p>
      <w:pPr>
        <w:pStyle w:val="21"/>
        <w:bidi w:val="0"/>
        <w:rPr>
          <w:rFonts w:hint="eastAsia"/>
          <w:color w:val="auto"/>
        </w:rPr>
      </w:pPr>
      <w:r>
        <w:rPr>
          <w:rFonts w:hint="eastAsia"/>
          <w:b/>
          <w:bCs/>
          <w:color w:val="auto"/>
        </w:rPr>
        <w:t>坚持质量核心，强化协同。</w:t>
      </w:r>
      <w:r>
        <w:rPr>
          <w:rFonts w:hint="eastAsia"/>
          <w:color w:val="auto"/>
        </w:rPr>
        <w:t>坚持以改善生态环境质量为核心，强化生态环境与应对气候变化相统筹，生态保护修复与环境治理相统筹，城市治理与乡村建设相统筹，做到预防和治理结合，减污和降碳并重。</w:t>
      </w:r>
    </w:p>
    <w:p>
      <w:pPr>
        <w:pStyle w:val="21"/>
        <w:bidi w:val="0"/>
        <w:rPr>
          <w:rFonts w:hint="eastAsia"/>
          <w:b w:val="0"/>
          <w:bCs w:val="0"/>
          <w:color w:val="auto"/>
          <w:lang w:eastAsia="zh-CN"/>
        </w:rPr>
      </w:pPr>
      <w:r>
        <w:rPr>
          <w:rFonts w:hint="eastAsia"/>
          <w:b/>
          <w:bCs/>
          <w:color w:val="auto"/>
          <w:lang w:eastAsia="zh-CN"/>
        </w:rPr>
        <w:t>因地制宜，体现特色。</w:t>
      </w:r>
      <w:r>
        <w:rPr>
          <w:rFonts w:hint="eastAsia"/>
          <w:b w:val="0"/>
          <w:bCs w:val="0"/>
          <w:color w:val="auto"/>
          <w:lang w:eastAsia="zh-CN"/>
        </w:rPr>
        <w:t>依据当地的自然、社会、经济、资源等条件，正确处理经济发展同人口、资源、环境的关系，</w:t>
      </w:r>
      <w:r>
        <w:rPr>
          <w:rFonts w:hint="eastAsia"/>
          <w:b w:val="0"/>
          <w:bCs w:val="0"/>
          <w:color w:val="auto"/>
          <w:lang w:val="en-US" w:eastAsia="zh-CN"/>
        </w:rPr>
        <w:t>以</w:t>
      </w:r>
      <w:r>
        <w:rPr>
          <w:rFonts w:hint="eastAsia"/>
          <w:color w:val="auto"/>
        </w:rPr>
        <w:t>建设全省</w:t>
      </w:r>
      <w:r>
        <w:rPr>
          <w:rFonts w:hint="eastAsia"/>
          <w:color w:val="auto"/>
          <w:lang w:eastAsia="zh-CN"/>
        </w:rPr>
        <w:t>“</w:t>
      </w:r>
      <w:r>
        <w:rPr>
          <w:rFonts w:hint="eastAsia"/>
          <w:color w:val="auto"/>
        </w:rPr>
        <w:t>五个中心</w:t>
      </w:r>
      <w:r>
        <w:rPr>
          <w:rFonts w:hint="eastAsia"/>
          <w:color w:val="auto"/>
          <w:lang w:eastAsia="zh-CN"/>
        </w:rPr>
        <w:t>”</w:t>
      </w:r>
      <w:r>
        <w:rPr>
          <w:rFonts w:hint="eastAsia"/>
          <w:color w:val="auto"/>
          <w:lang w:val="en-US" w:eastAsia="zh-CN"/>
        </w:rPr>
        <w:t>为核心，</w:t>
      </w:r>
      <w:r>
        <w:rPr>
          <w:rFonts w:hint="eastAsia"/>
          <w:color w:val="auto"/>
        </w:rPr>
        <w:t>重点培育金融、虚拟现实等现代服务业</w:t>
      </w:r>
      <w:r>
        <w:rPr>
          <w:rFonts w:hint="eastAsia"/>
          <w:b w:val="0"/>
          <w:bCs w:val="0"/>
          <w:color w:val="auto"/>
          <w:lang w:eastAsia="zh-CN"/>
        </w:rPr>
        <w:t>，大力推动绿色发展、创新发展、高质量发展。</w:t>
      </w:r>
    </w:p>
    <w:p>
      <w:pPr>
        <w:pStyle w:val="21"/>
        <w:bidi w:val="0"/>
        <w:rPr>
          <w:rFonts w:hint="eastAsia"/>
          <w:color w:val="auto"/>
        </w:rPr>
      </w:pPr>
      <w:r>
        <w:rPr>
          <w:rFonts w:hint="eastAsia"/>
          <w:b/>
          <w:bCs/>
          <w:color w:val="auto"/>
          <w:lang w:eastAsia="zh-CN"/>
        </w:rPr>
        <w:t>党政主导、社会参与。</w:t>
      </w:r>
      <w:r>
        <w:rPr>
          <w:rFonts w:hint="eastAsia"/>
          <w:b w:val="0"/>
          <w:bCs w:val="0"/>
          <w:color w:val="auto"/>
          <w:lang w:eastAsia="zh-CN"/>
        </w:rPr>
        <w:t>把生态文明建设提上各级党委政府的重要议事日程，放到更加突出的位置，切实发挥组织领导、规划引领、资金引导的作用。坚持走群策群力、群防群控的群众路线。着力强化企业生态意识和社会责任意识，加强环境保护，减少污染排放。倡导公众积极参与，引导全民共建共享，形成生态文明建设的强大合力。</w:t>
      </w:r>
    </w:p>
    <w:p>
      <w:pPr>
        <w:pStyle w:val="20"/>
        <w:numPr>
          <w:ilvl w:val="1"/>
          <w:numId w:val="0"/>
        </w:numPr>
        <w:bidi w:val="0"/>
        <w:ind w:leftChars="0"/>
        <w:rPr>
          <w:rFonts w:hint="eastAsia" w:ascii="仿宋" w:hAnsi="仿宋" w:eastAsia="仿宋" w:cs="仿宋"/>
          <w:color w:val="auto"/>
          <w:lang w:val="en-US" w:eastAsia="zh-CN"/>
        </w:rPr>
      </w:pPr>
      <w:bookmarkStart w:id="121" w:name="_Toc2232"/>
      <w:bookmarkStart w:id="122" w:name="_Toc15029"/>
      <w:bookmarkStart w:id="123" w:name="_Toc132363081"/>
      <w:bookmarkStart w:id="124" w:name="_Toc27214"/>
      <w:bookmarkStart w:id="125" w:name="_Toc31333"/>
      <w:r>
        <w:rPr>
          <w:rFonts w:hint="eastAsia" w:ascii="仿宋" w:hAnsi="仿宋" w:eastAsia="仿宋" w:cs="仿宋"/>
          <w:color w:val="auto"/>
          <w:lang w:val="en-US" w:eastAsia="zh-CN"/>
        </w:rPr>
        <w:t>（三）规划范围</w:t>
      </w:r>
      <w:bookmarkEnd w:id="121"/>
      <w:bookmarkEnd w:id="122"/>
      <w:bookmarkEnd w:id="123"/>
      <w:bookmarkEnd w:id="124"/>
      <w:bookmarkEnd w:id="125"/>
    </w:p>
    <w:p>
      <w:pPr>
        <w:pStyle w:val="21"/>
        <w:bidi w:val="0"/>
        <w:rPr>
          <w:rFonts w:hint="eastAsia"/>
          <w:color w:val="auto"/>
          <w:lang w:val="en-US" w:eastAsia="zh-CN"/>
        </w:rPr>
      </w:pPr>
      <w:r>
        <w:rPr>
          <w:rFonts w:hint="eastAsia"/>
          <w:color w:val="auto"/>
          <w:lang w:val="en-US" w:eastAsia="zh-CN"/>
        </w:rPr>
        <w:t>本规划编制范围为江西省南昌市红谷滩区，辖7街道1乡1镇，即沙井街道、凤凰洲街道、卫东街道、红角洲街道、九龙湖街道、生米街道、龙兴街道、厚田乡、流湖镇。规划总面积约398.01平方公里。</w:t>
      </w:r>
    </w:p>
    <w:p>
      <w:pPr>
        <w:pStyle w:val="20"/>
        <w:numPr>
          <w:ilvl w:val="1"/>
          <w:numId w:val="0"/>
        </w:numPr>
        <w:bidi w:val="0"/>
        <w:ind w:leftChars="0"/>
        <w:rPr>
          <w:rFonts w:hint="eastAsia" w:ascii="仿宋" w:hAnsi="仿宋" w:eastAsia="仿宋" w:cs="仿宋"/>
          <w:color w:val="auto"/>
          <w:lang w:val="en-US" w:eastAsia="zh-CN"/>
        </w:rPr>
      </w:pPr>
      <w:bookmarkStart w:id="126" w:name="_Toc28699"/>
      <w:bookmarkStart w:id="127" w:name="_Toc1477"/>
      <w:bookmarkStart w:id="128" w:name="_Toc132363082"/>
      <w:bookmarkStart w:id="129" w:name="_Toc20943"/>
      <w:bookmarkStart w:id="130" w:name="_Toc9350"/>
      <w:r>
        <w:rPr>
          <w:rFonts w:hint="eastAsia" w:ascii="仿宋" w:hAnsi="仿宋" w:eastAsia="仿宋" w:cs="仿宋"/>
          <w:color w:val="auto"/>
          <w:lang w:val="en-US" w:eastAsia="zh-CN"/>
        </w:rPr>
        <w:t>（四）规划期限</w:t>
      </w:r>
      <w:bookmarkEnd w:id="126"/>
      <w:bookmarkEnd w:id="127"/>
      <w:bookmarkEnd w:id="128"/>
      <w:bookmarkEnd w:id="129"/>
      <w:bookmarkEnd w:id="130"/>
    </w:p>
    <w:p>
      <w:pPr>
        <w:pStyle w:val="21"/>
        <w:bidi w:val="0"/>
        <w:rPr>
          <w:rFonts w:hint="eastAsia"/>
          <w:color w:val="auto"/>
          <w:lang w:val="en-US" w:eastAsia="zh-CN"/>
        </w:rPr>
      </w:pPr>
      <w:r>
        <w:rPr>
          <w:rFonts w:hint="eastAsia"/>
          <w:color w:val="auto"/>
          <w:lang w:val="en-US" w:eastAsia="zh-CN"/>
        </w:rPr>
        <w:t>规划基准年为2022年，规划期限为2023-2030年。</w:t>
      </w:r>
    </w:p>
    <w:p>
      <w:pPr>
        <w:pStyle w:val="21"/>
        <w:bidi w:val="0"/>
        <w:rPr>
          <w:rFonts w:hint="eastAsia"/>
          <w:color w:val="auto"/>
          <w:lang w:val="en-US" w:eastAsia="zh-CN"/>
        </w:rPr>
      </w:pPr>
      <w:r>
        <w:rPr>
          <w:color w:val="auto"/>
          <w:lang w:val="en-US" w:eastAsia="zh-CN"/>
        </w:rPr>
        <w:t>第一阶段</w:t>
      </w:r>
      <w:r>
        <w:rPr>
          <w:rFonts w:hint="eastAsia"/>
          <w:color w:val="auto"/>
          <w:lang w:val="en-US" w:eastAsia="zh-CN"/>
        </w:rPr>
        <w:t>（近期）</w:t>
      </w:r>
      <w:r>
        <w:rPr>
          <w:color w:val="auto"/>
          <w:lang w:val="en-US" w:eastAsia="zh-CN"/>
        </w:rPr>
        <w:t>：</w:t>
      </w:r>
      <w:r>
        <w:rPr>
          <w:rFonts w:hint="default"/>
          <w:color w:val="auto"/>
          <w:lang w:val="en-US" w:eastAsia="zh-CN"/>
        </w:rPr>
        <w:t>202</w:t>
      </w:r>
      <w:r>
        <w:rPr>
          <w:rFonts w:hint="eastAsia"/>
          <w:color w:val="auto"/>
          <w:lang w:val="en-US" w:eastAsia="zh-CN"/>
        </w:rPr>
        <w:t>3</w:t>
      </w:r>
      <w:r>
        <w:rPr>
          <w:rFonts w:hint="default"/>
          <w:color w:val="auto"/>
          <w:lang w:val="en-US" w:eastAsia="zh-CN"/>
        </w:rPr>
        <w:t>-2025</w:t>
      </w:r>
      <w:r>
        <w:rPr>
          <w:rFonts w:hint="eastAsia"/>
          <w:color w:val="auto"/>
          <w:lang w:val="en-US" w:eastAsia="zh-CN"/>
        </w:rPr>
        <w:t xml:space="preserve">年，为生态文明全面创建期，达到创建江西省生态文明建设示范县标准。 </w:t>
      </w:r>
    </w:p>
    <w:p>
      <w:pPr>
        <w:pStyle w:val="21"/>
        <w:bidi w:val="0"/>
        <w:rPr>
          <w:color w:val="auto"/>
        </w:rPr>
      </w:pPr>
      <w:r>
        <w:rPr>
          <w:rFonts w:hint="eastAsia"/>
          <w:color w:val="auto"/>
          <w:lang w:val="en-US" w:eastAsia="zh-CN"/>
        </w:rPr>
        <w:t>第二阶段（远期）：</w:t>
      </w:r>
      <w:r>
        <w:rPr>
          <w:rFonts w:hint="default"/>
          <w:color w:val="auto"/>
          <w:lang w:val="en-US" w:eastAsia="zh-CN"/>
        </w:rPr>
        <w:t>2026-2030</w:t>
      </w:r>
      <w:r>
        <w:rPr>
          <w:rFonts w:hint="eastAsia"/>
          <w:color w:val="auto"/>
          <w:lang w:val="en-US" w:eastAsia="zh-CN"/>
        </w:rPr>
        <w:t>年，为生态文明建设提升期，巩固和提高创建质量及整体水平，达到国家生态文明建设示范区创建标准。</w:t>
      </w:r>
    </w:p>
    <w:p>
      <w:pPr>
        <w:numPr>
          <w:ilvl w:val="1"/>
          <w:numId w:val="0"/>
        </w:numPr>
        <w:bidi w:val="0"/>
        <w:ind w:leftChars="0"/>
        <w:rPr>
          <w:rFonts w:hint="eastAsia" w:ascii="仿宋" w:hAnsi="仿宋" w:eastAsia="仿宋" w:cs="仿宋"/>
          <w:color w:val="auto"/>
          <w:lang w:val="en-US" w:eastAsia="zh-CN"/>
        </w:rPr>
      </w:pPr>
      <w:bookmarkStart w:id="131" w:name="_Toc5434"/>
      <w:bookmarkStart w:id="132" w:name="_Toc18332023"/>
      <w:bookmarkStart w:id="133" w:name="_Toc23271"/>
      <w:bookmarkStart w:id="134" w:name="_Toc132363083"/>
      <w:bookmarkStart w:id="135" w:name="_Toc31659"/>
      <w:r>
        <w:rPr>
          <w:rFonts w:hint="eastAsia" w:ascii="仿宋" w:hAnsi="仿宋" w:eastAsia="仿宋" w:cs="仿宋"/>
          <w:color w:val="auto"/>
          <w:lang w:val="en-US" w:eastAsia="zh-CN"/>
        </w:rPr>
        <w:br w:type="page"/>
      </w:r>
    </w:p>
    <w:p>
      <w:pPr>
        <w:pStyle w:val="20"/>
        <w:numPr>
          <w:ilvl w:val="1"/>
          <w:numId w:val="0"/>
        </w:numPr>
        <w:bidi w:val="0"/>
        <w:ind w:leftChars="0"/>
        <w:rPr>
          <w:rFonts w:hint="eastAsia" w:ascii="仿宋" w:hAnsi="仿宋" w:eastAsia="仿宋" w:cs="仿宋"/>
          <w:color w:val="auto"/>
          <w:lang w:val="en-US" w:eastAsia="zh-CN"/>
        </w:rPr>
      </w:pPr>
      <w:bookmarkStart w:id="136" w:name="_Toc9045"/>
      <w:r>
        <w:rPr>
          <w:rFonts w:hint="eastAsia" w:ascii="仿宋" w:hAnsi="仿宋" w:eastAsia="仿宋" w:cs="仿宋"/>
          <w:color w:val="auto"/>
          <w:lang w:val="en-US" w:eastAsia="zh-CN"/>
        </w:rPr>
        <w:t>（五）规划目标</w:t>
      </w:r>
      <w:bookmarkEnd w:id="131"/>
      <w:bookmarkEnd w:id="132"/>
      <w:bookmarkEnd w:id="133"/>
      <w:bookmarkEnd w:id="134"/>
      <w:bookmarkEnd w:id="135"/>
      <w:bookmarkEnd w:id="136"/>
    </w:p>
    <w:p>
      <w:pPr>
        <w:pStyle w:val="21"/>
        <w:keepNext w:val="0"/>
        <w:keepLines w:val="0"/>
        <w:pageBreakBefore w:val="0"/>
        <w:widowControl/>
        <w:kinsoku/>
        <w:wordWrap/>
        <w:overflowPunct/>
        <w:topLinePunct w:val="0"/>
        <w:autoSpaceDE/>
        <w:autoSpaceDN/>
        <w:bidi w:val="0"/>
        <w:adjustRightInd/>
        <w:snapToGrid/>
        <w:textAlignment w:val="auto"/>
        <w:outlineLvl w:val="2"/>
        <w:rPr>
          <w:rFonts w:hint="default"/>
          <w:b/>
          <w:bCs/>
          <w:color w:val="auto"/>
          <w:lang w:val="en-US" w:eastAsia="zh-CN"/>
        </w:rPr>
      </w:pPr>
      <w:bookmarkStart w:id="137" w:name="_Toc24122"/>
      <w:bookmarkStart w:id="138" w:name="_Toc16485"/>
      <w:bookmarkStart w:id="139" w:name="_Toc26218"/>
      <w:bookmarkStart w:id="140" w:name="_Toc7191"/>
      <w:bookmarkStart w:id="141" w:name="_Toc562"/>
      <w:bookmarkStart w:id="142" w:name="_Toc11717"/>
      <w:bookmarkStart w:id="143" w:name="_Toc12646"/>
      <w:bookmarkStart w:id="144" w:name="_Toc4132"/>
      <w:r>
        <w:rPr>
          <w:rFonts w:hint="eastAsia"/>
          <w:b/>
          <w:bCs/>
          <w:color w:val="auto"/>
          <w:lang w:val="en-US" w:eastAsia="zh-CN"/>
        </w:rPr>
        <w:t>1.</w:t>
      </w:r>
      <w:r>
        <w:rPr>
          <w:rFonts w:hint="default"/>
          <w:b/>
          <w:bCs/>
          <w:color w:val="auto"/>
          <w:lang w:val="en-US" w:eastAsia="zh-CN"/>
        </w:rPr>
        <w:t>总体目标</w:t>
      </w:r>
      <w:bookmarkEnd w:id="137"/>
      <w:bookmarkEnd w:id="138"/>
      <w:bookmarkEnd w:id="139"/>
      <w:bookmarkEnd w:id="140"/>
      <w:bookmarkEnd w:id="141"/>
      <w:bookmarkEnd w:id="142"/>
      <w:bookmarkEnd w:id="143"/>
      <w:bookmarkEnd w:id="144"/>
    </w:p>
    <w:p>
      <w:pPr>
        <w:pStyle w:val="21"/>
        <w:bidi w:val="0"/>
        <w:rPr>
          <w:rFonts w:hint="default"/>
          <w:color w:val="auto"/>
          <w:lang w:val="en-US" w:eastAsia="zh-CN"/>
        </w:rPr>
      </w:pPr>
      <w:r>
        <w:rPr>
          <w:rFonts w:hint="default"/>
          <w:color w:val="auto"/>
          <w:lang w:val="en-US" w:eastAsia="zh-CN"/>
        </w:rPr>
        <w:t>高标准建成生态宜居家园</w:t>
      </w:r>
      <w:r>
        <w:rPr>
          <w:rFonts w:hint="eastAsia"/>
          <w:color w:val="auto"/>
          <w:lang w:val="en-US" w:eastAsia="zh-CN"/>
        </w:rPr>
        <w:t>，</w:t>
      </w:r>
      <w:r>
        <w:rPr>
          <w:rFonts w:hint="default"/>
          <w:color w:val="auto"/>
          <w:lang w:val="en-US" w:eastAsia="zh-CN"/>
        </w:rPr>
        <w:t>生态环境质量</w:t>
      </w:r>
      <w:r>
        <w:rPr>
          <w:rFonts w:hint="eastAsia"/>
          <w:color w:val="auto"/>
          <w:lang w:val="en-US" w:eastAsia="zh-CN"/>
        </w:rPr>
        <w:t>稳步提升，</w:t>
      </w:r>
      <w:r>
        <w:rPr>
          <w:rFonts w:hint="default"/>
          <w:color w:val="auto"/>
          <w:lang w:val="en-US" w:eastAsia="zh-CN"/>
        </w:rPr>
        <w:t>人与自然和谐共生</w:t>
      </w:r>
      <w:r>
        <w:rPr>
          <w:rFonts w:hint="eastAsia"/>
          <w:color w:val="auto"/>
          <w:lang w:val="en-US" w:eastAsia="zh-CN"/>
        </w:rPr>
        <w:t>。</w:t>
      </w:r>
      <w:r>
        <w:rPr>
          <w:rFonts w:hint="default"/>
          <w:color w:val="auto"/>
          <w:lang w:val="en-US" w:eastAsia="zh-CN"/>
        </w:rPr>
        <w:t>坚持以生态文明建设引领城市发展，牢牢把握高质量发展的根本要求，实施水、气、土壤污染防治，开展重要生态系统保护和修复，生态环境质量持续改善，以市场为主的生态产品价值转化机制逐渐完善；构建资源节约、环境友好、循环高效的生产方式，建立以产业生态化和生态产业化为主体的生态经济体系；大幅改善人居生活环境，提高全社会生态文明意识，</w:t>
      </w:r>
      <w:r>
        <w:rPr>
          <w:rFonts w:hint="eastAsia"/>
          <w:color w:val="auto"/>
          <w:lang w:val="en-US" w:eastAsia="zh-CN"/>
        </w:rPr>
        <w:t>使</w:t>
      </w:r>
      <w:r>
        <w:rPr>
          <w:rFonts w:hint="default"/>
          <w:color w:val="auto"/>
          <w:lang w:val="en-US" w:eastAsia="zh-CN"/>
        </w:rPr>
        <w:t>绿色发展体制机制更加完善，形成节约资源和保护环境的空间格局、产业结构、生产方式、生活方式，力争</w:t>
      </w:r>
      <w:r>
        <w:rPr>
          <w:rFonts w:hint="eastAsia"/>
          <w:color w:val="auto"/>
          <w:lang w:val="en-US" w:eastAsia="zh-CN"/>
        </w:rPr>
        <w:t>把红谷滩区</w:t>
      </w:r>
      <w:r>
        <w:rPr>
          <w:rFonts w:hint="default"/>
          <w:color w:val="auto"/>
          <w:lang w:val="en-US" w:eastAsia="zh-CN"/>
        </w:rPr>
        <w:t>建成人与自然和谐共生的现代化生态文明建设示范</w:t>
      </w:r>
      <w:r>
        <w:rPr>
          <w:rFonts w:hint="eastAsia"/>
          <w:color w:val="auto"/>
          <w:lang w:val="en-US" w:eastAsia="zh-CN"/>
        </w:rPr>
        <w:t>区，打造符合红谷滩实际、系统完整、可复制可借鉴的生态文明示范样板。</w:t>
      </w:r>
    </w:p>
    <w:p>
      <w:pPr>
        <w:pStyle w:val="21"/>
        <w:keepNext w:val="0"/>
        <w:keepLines w:val="0"/>
        <w:pageBreakBefore w:val="0"/>
        <w:widowControl/>
        <w:kinsoku/>
        <w:wordWrap/>
        <w:overflowPunct/>
        <w:topLinePunct w:val="0"/>
        <w:autoSpaceDE/>
        <w:autoSpaceDN/>
        <w:bidi w:val="0"/>
        <w:adjustRightInd/>
        <w:snapToGrid/>
        <w:textAlignment w:val="auto"/>
        <w:outlineLvl w:val="2"/>
        <w:rPr>
          <w:rFonts w:hint="default" w:ascii="Times New Roman" w:hAnsi="Times New Roman" w:cs="Times New Roman"/>
          <w:b/>
          <w:bCs/>
          <w:color w:val="auto"/>
          <w:lang w:val="en-US" w:eastAsia="zh-CN"/>
        </w:rPr>
      </w:pPr>
      <w:bookmarkStart w:id="145" w:name="_Toc15334"/>
      <w:bookmarkStart w:id="146" w:name="_Toc20162"/>
      <w:bookmarkStart w:id="147" w:name="_Toc29216"/>
      <w:bookmarkStart w:id="148" w:name="_Toc18962"/>
      <w:bookmarkStart w:id="149" w:name="_Toc2733"/>
      <w:bookmarkStart w:id="150" w:name="_Toc14648"/>
      <w:bookmarkStart w:id="151" w:name="_Toc5389"/>
      <w:bookmarkStart w:id="152" w:name="_Toc1617"/>
      <w:r>
        <w:rPr>
          <w:rFonts w:hint="eastAsia" w:ascii="Times New Roman" w:hAnsi="Times New Roman" w:cs="Times New Roman"/>
          <w:b/>
          <w:bCs/>
          <w:color w:val="auto"/>
          <w:lang w:val="en-US" w:eastAsia="zh-CN"/>
        </w:rPr>
        <w:t>2.</w:t>
      </w:r>
      <w:r>
        <w:rPr>
          <w:rFonts w:hint="default" w:ascii="Times New Roman" w:hAnsi="Times New Roman" w:cs="Times New Roman"/>
          <w:b/>
          <w:bCs/>
          <w:color w:val="auto"/>
          <w:lang w:val="en-US" w:eastAsia="zh-CN"/>
        </w:rPr>
        <w:t>阶段目标</w:t>
      </w:r>
      <w:bookmarkEnd w:id="145"/>
      <w:bookmarkEnd w:id="146"/>
      <w:bookmarkEnd w:id="147"/>
      <w:bookmarkEnd w:id="148"/>
      <w:bookmarkEnd w:id="149"/>
      <w:bookmarkEnd w:id="150"/>
      <w:bookmarkEnd w:id="151"/>
      <w:bookmarkEnd w:id="152"/>
    </w:p>
    <w:p>
      <w:pPr>
        <w:pStyle w:val="21"/>
        <w:bidi w:val="0"/>
        <w:rPr>
          <w:rFonts w:hint="default"/>
          <w:color w:val="auto"/>
          <w:lang w:val="en-US" w:eastAsia="zh-CN"/>
        </w:rPr>
      </w:pPr>
      <w:r>
        <w:rPr>
          <w:rFonts w:hint="eastAsia"/>
          <w:color w:val="auto"/>
          <w:lang w:val="en-US" w:eastAsia="zh-CN"/>
        </w:rPr>
        <w:t>（1）</w:t>
      </w:r>
      <w:r>
        <w:rPr>
          <w:rFonts w:hint="default"/>
          <w:color w:val="auto"/>
          <w:lang w:val="en-US" w:eastAsia="zh-CN"/>
        </w:rPr>
        <w:t>近期（202</w:t>
      </w:r>
      <w:r>
        <w:rPr>
          <w:rFonts w:hint="eastAsia"/>
          <w:color w:val="auto"/>
          <w:lang w:val="en-US" w:eastAsia="zh-CN"/>
        </w:rPr>
        <w:t>3</w:t>
      </w:r>
      <w:r>
        <w:rPr>
          <w:rFonts w:hint="default"/>
          <w:color w:val="auto"/>
          <w:lang w:val="en-US" w:eastAsia="zh-CN"/>
        </w:rPr>
        <w:t>-20</w:t>
      </w:r>
      <w:r>
        <w:rPr>
          <w:rFonts w:hint="eastAsia"/>
          <w:color w:val="auto"/>
          <w:lang w:val="en-US" w:eastAsia="zh-CN"/>
        </w:rPr>
        <w:t>25</w:t>
      </w:r>
      <w:r>
        <w:rPr>
          <w:rFonts w:hint="default"/>
          <w:color w:val="auto"/>
          <w:lang w:val="en-US" w:eastAsia="zh-CN"/>
        </w:rPr>
        <w:t>年）</w:t>
      </w:r>
    </w:p>
    <w:p>
      <w:pPr>
        <w:pStyle w:val="21"/>
        <w:bidi w:val="0"/>
        <w:rPr>
          <w:rFonts w:hint="default"/>
          <w:color w:val="auto"/>
          <w:lang w:val="en-US" w:eastAsia="zh-CN"/>
        </w:rPr>
      </w:pPr>
      <w:r>
        <w:rPr>
          <w:rFonts w:hint="default"/>
          <w:color w:val="auto"/>
          <w:lang w:val="en-US" w:eastAsia="zh-CN"/>
        </w:rPr>
        <w:t>生态文明建设示范创建达标阶段：对照生态文明建设体系，从差距较大的领域入手，针对尚未达标的指标进行集中攻坚。以环境设施建设、产业改造升级转型、城乡绿化建设、培育生态文化为建设重点，依托主导产业基本建立新经济发展体系，绿色发展水平进一步提升</w:t>
      </w:r>
      <w:r>
        <w:rPr>
          <w:rFonts w:hint="eastAsia"/>
          <w:color w:val="auto"/>
          <w:lang w:val="en-US" w:eastAsia="zh-CN"/>
        </w:rPr>
        <w:t>；</w:t>
      </w:r>
      <w:r>
        <w:rPr>
          <w:rFonts w:hint="default"/>
          <w:color w:val="auto"/>
          <w:lang w:val="en-US" w:eastAsia="zh-CN"/>
        </w:rPr>
        <w:t>大气、水、土壤等环境质量进一步改善，环境风险得到有效防范；建立完善生态经济保障机制和生态文化体系，大幅提高生态文明意识，健全生态文明制度体系</w:t>
      </w:r>
      <w:r>
        <w:rPr>
          <w:rFonts w:hint="eastAsia"/>
          <w:color w:val="auto"/>
          <w:lang w:val="en-US" w:eastAsia="zh-CN"/>
        </w:rPr>
        <w:t>，</w:t>
      </w:r>
      <w:r>
        <w:rPr>
          <w:rFonts w:hint="default"/>
          <w:color w:val="auto"/>
          <w:lang w:val="en-US" w:eastAsia="zh-CN"/>
        </w:rPr>
        <w:t>达到江西省生态文明建设示范县创建标准。</w:t>
      </w:r>
    </w:p>
    <w:p>
      <w:pPr>
        <w:pStyle w:val="21"/>
        <w:bidi w:val="0"/>
        <w:rPr>
          <w:rFonts w:hint="default"/>
          <w:color w:val="auto"/>
          <w:lang w:val="en-US" w:eastAsia="zh-CN"/>
        </w:rPr>
      </w:pPr>
      <w:r>
        <w:rPr>
          <w:rFonts w:hint="eastAsia"/>
          <w:color w:val="auto"/>
          <w:lang w:val="en-US" w:eastAsia="zh-CN"/>
        </w:rPr>
        <w:t>（2）远期（2026-2030年）</w:t>
      </w:r>
    </w:p>
    <w:p>
      <w:pPr>
        <w:pStyle w:val="21"/>
        <w:bidi w:val="0"/>
        <w:rPr>
          <w:color w:val="auto"/>
        </w:rPr>
      </w:pPr>
      <w:r>
        <w:rPr>
          <w:rFonts w:hint="eastAsia"/>
          <w:color w:val="auto"/>
          <w:lang w:eastAsia="zh-CN"/>
        </w:rPr>
        <w:t>以巩固环境设施、发展绿色循环经济、提升城乡绿化、完善生态制度为规划重点，生态文明建设巩固提升，生态制度持续优化，绿色发展理念融入经济、政治、文化、社会建设各方面和全过程，生态、生活、生产空间布局更加科学合理，自然生态空间承载力、生态系统服务功能稳步提升；生态经济进一步优化发展，基本形成绿色、低碳、循环的生态经济体系；公众生态文明意识明显增强，自觉提倡绿色、环保、低碳、俭约的生活方式。生态文明制度体系更加完善，经济社会与生态环境得到全面和谐可持续发展，形成较为完善的生态安全格局、生态产业、生态文化、目标责任和制度体系，</w:t>
      </w:r>
      <w:r>
        <w:rPr>
          <w:rFonts w:hint="eastAsia"/>
          <w:color w:val="auto"/>
          <w:lang w:val="en-US" w:eastAsia="zh-CN"/>
        </w:rPr>
        <w:t>基本建成宜居舒适的美丽生态家园，达到国家生态文明建设示范区创建标准。</w:t>
      </w:r>
    </w:p>
    <w:p>
      <w:pPr>
        <w:pStyle w:val="20"/>
        <w:numPr>
          <w:ilvl w:val="1"/>
          <w:numId w:val="0"/>
        </w:numPr>
        <w:bidi w:val="0"/>
        <w:ind w:leftChars="0"/>
        <w:rPr>
          <w:rFonts w:hint="eastAsia" w:ascii="仿宋" w:hAnsi="仿宋" w:eastAsia="仿宋" w:cs="仿宋"/>
          <w:color w:val="auto"/>
          <w:lang w:val="en-US" w:eastAsia="zh-CN"/>
        </w:rPr>
      </w:pPr>
      <w:bookmarkStart w:id="153" w:name="_Toc22340"/>
      <w:bookmarkStart w:id="154" w:name="_Toc28954"/>
      <w:bookmarkStart w:id="155" w:name="_Toc16435"/>
      <w:bookmarkStart w:id="156" w:name="_Toc30083"/>
      <w:bookmarkStart w:id="157" w:name="_Toc132363086"/>
      <w:r>
        <w:rPr>
          <w:rFonts w:hint="eastAsia" w:ascii="仿宋" w:hAnsi="仿宋" w:eastAsia="仿宋" w:cs="仿宋"/>
          <w:color w:val="auto"/>
          <w:lang w:val="en-US" w:eastAsia="zh-CN"/>
        </w:rPr>
        <w:t>（六）规划指标</w:t>
      </w:r>
      <w:bookmarkEnd w:id="153"/>
      <w:bookmarkEnd w:id="154"/>
      <w:bookmarkEnd w:id="155"/>
      <w:bookmarkEnd w:id="156"/>
      <w:bookmarkEnd w:id="157"/>
    </w:p>
    <w:p>
      <w:pPr>
        <w:pStyle w:val="23"/>
        <w:keepNext w:val="0"/>
        <w:keepLines w:val="0"/>
        <w:pageBreakBefore w:val="0"/>
        <w:widowControl w:val="0"/>
        <w:numPr>
          <w:ilvl w:val="1"/>
          <w:numId w:val="0"/>
        </w:numPr>
        <w:kinsoku/>
        <w:wordWrap/>
        <w:overflowPunct/>
        <w:topLinePunct w:val="0"/>
        <w:autoSpaceDE/>
        <w:autoSpaceDN/>
        <w:bidi w:val="0"/>
        <w:adjustRightInd/>
        <w:snapToGrid/>
        <w:ind w:leftChars="0" w:firstLine="562" w:firstLineChars="200"/>
        <w:textAlignment w:val="auto"/>
        <w:rPr>
          <w:rFonts w:hint="default"/>
          <w:color w:val="auto"/>
          <w:lang w:val="en-US" w:eastAsia="zh-CN"/>
        </w:rPr>
      </w:pPr>
      <w:bookmarkStart w:id="158" w:name="_Toc17775"/>
      <w:bookmarkStart w:id="159" w:name="_Toc26488"/>
      <w:bookmarkStart w:id="160" w:name="_Toc2502"/>
      <w:bookmarkStart w:id="161" w:name="_Toc8177"/>
      <w:bookmarkStart w:id="162" w:name="_Toc5704"/>
      <w:bookmarkStart w:id="163" w:name="_Toc19801"/>
      <w:bookmarkStart w:id="164" w:name="_Toc26816"/>
      <w:r>
        <w:rPr>
          <w:rFonts w:hint="eastAsia"/>
          <w:color w:val="auto"/>
          <w:lang w:val="en-US" w:eastAsia="zh-CN"/>
        </w:rPr>
        <w:t>1.</w:t>
      </w:r>
      <w:r>
        <w:rPr>
          <w:rFonts w:hint="default"/>
          <w:color w:val="auto"/>
          <w:lang w:val="en-US" w:eastAsia="zh-CN"/>
        </w:rPr>
        <w:t>建设指标</w:t>
      </w:r>
      <w:bookmarkEnd w:id="158"/>
      <w:bookmarkEnd w:id="159"/>
      <w:bookmarkEnd w:id="160"/>
      <w:bookmarkEnd w:id="161"/>
      <w:bookmarkEnd w:id="162"/>
      <w:bookmarkEnd w:id="163"/>
      <w:bookmarkEnd w:id="164"/>
    </w:p>
    <w:p>
      <w:pPr>
        <w:pStyle w:val="21"/>
        <w:bidi w:val="0"/>
        <w:rPr>
          <w:rFonts w:hint="default"/>
          <w:color w:val="auto"/>
          <w:lang w:val="en-US" w:eastAsia="zh-CN"/>
        </w:rPr>
      </w:pPr>
      <w:r>
        <w:rPr>
          <w:rFonts w:hint="default"/>
          <w:color w:val="auto"/>
          <w:lang w:val="en-US" w:eastAsia="zh-CN"/>
        </w:rPr>
        <w:t>基于《江西省省级生态市县建设指标</w:t>
      </w:r>
      <w:r>
        <w:rPr>
          <w:rFonts w:hint="eastAsia"/>
          <w:color w:val="auto"/>
          <w:lang w:val="en-US" w:eastAsia="zh-CN"/>
        </w:rPr>
        <w:t>》《</w:t>
      </w:r>
      <w:r>
        <w:rPr>
          <w:rFonts w:hint="default"/>
          <w:color w:val="auto"/>
          <w:lang w:val="en-US" w:eastAsia="zh-CN"/>
        </w:rPr>
        <w:t>国家生态文明建设示范区建设指标》</w:t>
      </w:r>
      <w:r>
        <w:rPr>
          <w:rFonts w:hint="eastAsia"/>
          <w:color w:val="auto"/>
          <w:lang w:val="en-US" w:eastAsia="zh-CN"/>
        </w:rPr>
        <w:t>（修订版）</w:t>
      </w:r>
      <w:r>
        <w:rPr>
          <w:rFonts w:hint="default"/>
          <w:color w:val="auto"/>
          <w:lang w:val="en-US" w:eastAsia="zh-CN"/>
        </w:rPr>
        <w:t>，根据</w:t>
      </w:r>
      <w:r>
        <w:rPr>
          <w:rFonts w:hint="eastAsia"/>
          <w:color w:val="auto"/>
          <w:lang w:val="en-US" w:eastAsia="zh-CN"/>
        </w:rPr>
        <w:t>红谷滩区</w:t>
      </w:r>
      <w:r>
        <w:rPr>
          <w:rFonts w:hint="default"/>
          <w:color w:val="auto"/>
          <w:lang w:val="en-US" w:eastAsia="zh-CN"/>
        </w:rPr>
        <w:t>经济社会、环境特征构建规划指标体系，包括生态制度、生态安全、生态空间、生态经济、生态生活、生态文化等六个方面，共设定</w:t>
      </w:r>
      <w:r>
        <w:rPr>
          <w:rFonts w:hint="eastAsia"/>
          <w:color w:val="auto"/>
          <w:lang w:val="en-US" w:eastAsia="zh-CN"/>
        </w:rPr>
        <w:t>省级生态县建设规划指标29项、国家生态文明建设示范区建设规划指标35项</w:t>
      </w:r>
      <w:r>
        <w:rPr>
          <w:rFonts w:hint="default"/>
          <w:color w:val="auto"/>
          <w:lang w:val="en-US" w:eastAsia="zh-CN"/>
        </w:rPr>
        <w:t>，详见表</w:t>
      </w:r>
      <w:r>
        <w:rPr>
          <w:rFonts w:hint="eastAsia"/>
          <w:color w:val="auto"/>
          <w:lang w:val="en-US" w:eastAsia="zh-CN"/>
        </w:rPr>
        <w:t>3</w:t>
      </w:r>
      <w:r>
        <w:rPr>
          <w:rFonts w:hint="default"/>
          <w:color w:val="auto"/>
          <w:lang w:val="en-US" w:eastAsia="zh-CN"/>
        </w:rPr>
        <w:t>-1</w:t>
      </w:r>
      <w:r>
        <w:rPr>
          <w:rFonts w:hint="eastAsia"/>
          <w:color w:val="auto"/>
          <w:lang w:val="en-US" w:eastAsia="zh-CN"/>
        </w:rPr>
        <w:t>、3-2</w:t>
      </w:r>
      <w:r>
        <w:rPr>
          <w:rFonts w:hint="default"/>
          <w:color w:val="auto"/>
          <w:lang w:val="en-US" w:eastAsia="zh-CN"/>
        </w:rPr>
        <w:t>所示。</w:t>
      </w:r>
    </w:p>
    <w:p>
      <w:pPr>
        <w:pStyle w:val="24"/>
        <w:ind w:left="0" w:leftChars="0" w:firstLine="0" w:firstLineChars="0"/>
        <w:jc w:val="center"/>
        <w:rPr>
          <w:rFonts w:hint="default" w:ascii="Times New Roman" w:hAnsi="Times New Roman" w:eastAsia="宋体" w:cs="Times New Roman"/>
          <w:b/>
          <w:bCs/>
          <w:color w:val="auto"/>
          <w:sz w:val="28"/>
          <w:szCs w:val="28"/>
          <w:highlight w:val="none"/>
          <w:lang w:val="en-US" w:eastAsia="zh-CN"/>
        </w:rPr>
      </w:pPr>
    </w:p>
    <w:p>
      <w:pPr>
        <w:pStyle w:val="25"/>
        <w:rPr>
          <w:rFonts w:hint="default"/>
          <w:color w:val="auto"/>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Style w:val="26"/>
        <w:numPr>
          <w:ilvl w:val="0"/>
          <w:numId w:val="0"/>
        </w:numPr>
        <w:bidi w:val="0"/>
        <w:ind w:leftChars="0"/>
        <w:jc w:val="center"/>
        <w:rPr>
          <w:rFonts w:hint="eastAsia"/>
          <w:color w:val="auto"/>
          <w:lang w:val="en-US" w:eastAsia="zh-CN"/>
        </w:rPr>
      </w:pPr>
      <w:r>
        <w:rPr>
          <w:rFonts w:hint="eastAsia"/>
          <w:color w:val="auto"/>
          <w:lang w:val="en-US" w:eastAsia="zh-CN"/>
        </w:rPr>
        <w:t>表3-1  红谷滩区省级生态县建设规划指标体系</w:t>
      </w:r>
    </w:p>
    <w:tbl>
      <w:tblPr>
        <w:tblStyle w:val="15"/>
        <w:tblW w:w="5000" w:type="pct"/>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34" w:type="dxa"/>
          <w:bottom w:w="0" w:type="dxa"/>
          <w:right w:w="34" w:type="dxa"/>
        </w:tblCellMar>
      </w:tblPr>
      <w:tblGrid>
        <w:gridCol w:w="488"/>
        <w:gridCol w:w="782"/>
        <w:gridCol w:w="427"/>
        <w:gridCol w:w="803"/>
        <w:gridCol w:w="5"/>
        <w:gridCol w:w="18"/>
        <w:gridCol w:w="2182"/>
        <w:gridCol w:w="877"/>
        <w:gridCol w:w="1546"/>
        <w:gridCol w:w="272"/>
        <w:gridCol w:w="1477"/>
        <w:gridCol w:w="795"/>
        <w:gridCol w:w="1721"/>
        <w:gridCol w:w="1802"/>
        <w:gridCol w:w="83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tblHeader/>
          <w:jc w:val="center"/>
        </w:trPr>
        <w:tc>
          <w:tcPr>
            <w:tcW w:w="488"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领域</w:t>
            </w:r>
          </w:p>
        </w:tc>
        <w:tc>
          <w:tcPr>
            <w:tcW w:w="782"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任务</w:t>
            </w:r>
          </w:p>
        </w:tc>
        <w:tc>
          <w:tcPr>
            <w:tcW w:w="427"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序号</w:t>
            </w:r>
          </w:p>
        </w:tc>
        <w:tc>
          <w:tcPr>
            <w:tcW w:w="3008" w:type="dxa"/>
            <w:gridSpan w:val="4"/>
            <w:tcBorders>
              <w:tl2br w:val="nil"/>
              <w:tr2bl w:val="nil"/>
            </w:tcBorders>
            <w:noWrap w:val="0"/>
            <w:vAlign w:val="center"/>
          </w:tcPr>
          <w:p>
            <w:pPr>
              <w:pStyle w:val="27"/>
              <w:bidi w:val="0"/>
              <w:rPr>
                <w:rFonts w:hint="default"/>
                <w:b/>
                <w:bCs/>
                <w:color w:val="auto"/>
              </w:rPr>
            </w:pPr>
            <w:r>
              <w:rPr>
                <w:rFonts w:hint="default"/>
                <w:b/>
                <w:bCs/>
                <w:color w:val="auto"/>
                <w:lang w:val="en-US" w:eastAsia="zh-CN"/>
              </w:rPr>
              <w:t>指标名称</w:t>
            </w:r>
          </w:p>
        </w:tc>
        <w:tc>
          <w:tcPr>
            <w:tcW w:w="877"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单位</w:t>
            </w:r>
          </w:p>
        </w:tc>
        <w:tc>
          <w:tcPr>
            <w:tcW w:w="1818" w:type="dxa"/>
            <w:gridSpan w:val="2"/>
            <w:tcBorders>
              <w:tl2br w:val="nil"/>
              <w:tr2bl w:val="nil"/>
            </w:tcBorders>
            <w:noWrap w:val="0"/>
            <w:vAlign w:val="center"/>
          </w:tcPr>
          <w:p>
            <w:pPr>
              <w:pStyle w:val="27"/>
              <w:bidi w:val="0"/>
              <w:rPr>
                <w:rFonts w:hint="default"/>
                <w:b/>
                <w:bCs/>
                <w:color w:val="auto"/>
              </w:rPr>
            </w:pPr>
            <w:r>
              <w:rPr>
                <w:rFonts w:hint="default"/>
                <w:b/>
                <w:bCs/>
                <w:color w:val="auto"/>
                <w:lang w:val="en-US" w:eastAsia="zh-CN"/>
              </w:rPr>
              <w:t>指标值</w:t>
            </w:r>
          </w:p>
        </w:tc>
        <w:tc>
          <w:tcPr>
            <w:tcW w:w="1477"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20</w:t>
            </w:r>
            <w:r>
              <w:rPr>
                <w:rFonts w:hint="eastAsia"/>
                <w:b/>
                <w:bCs/>
                <w:color w:val="auto"/>
                <w:lang w:val="en-US" w:eastAsia="zh-CN"/>
              </w:rPr>
              <w:t>22</w:t>
            </w:r>
            <w:r>
              <w:rPr>
                <w:rFonts w:hint="default"/>
                <w:b/>
                <w:bCs/>
                <w:color w:val="auto"/>
                <w:lang w:val="en-US" w:eastAsia="zh-CN"/>
              </w:rPr>
              <w:t>年现状</w:t>
            </w:r>
          </w:p>
        </w:tc>
        <w:tc>
          <w:tcPr>
            <w:tcW w:w="795"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现状达标情况</w:t>
            </w:r>
          </w:p>
        </w:tc>
        <w:tc>
          <w:tcPr>
            <w:tcW w:w="1721"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20</w:t>
            </w:r>
            <w:r>
              <w:rPr>
                <w:rFonts w:hint="eastAsia"/>
                <w:b/>
                <w:bCs/>
                <w:color w:val="auto"/>
                <w:lang w:val="en-US" w:eastAsia="zh-CN"/>
              </w:rPr>
              <w:t>25</w:t>
            </w:r>
            <w:r>
              <w:rPr>
                <w:rFonts w:hint="default"/>
                <w:b/>
                <w:bCs/>
                <w:color w:val="auto"/>
                <w:lang w:val="en-US" w:eastAsia="zh-CN"/>
              </w:rPr>
              <w:t>年近期目标</w:t>
            </w:r>
          </w:p>
        </w:tc>
        <w:tc>
          <w:tcPr>
            <w:tcW w:w="1802"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20</w:t>
            </w:r>
            <w:r>
              <w:rPr>
                <w:rFonts w:hint="eastAsia"/>
                <w:b/>
                <w:bCs/>
                <w:color w:val="auto"/>
                <w:lang w:val="en-US" w:eastAsia="zh-CN"/>
              </w:rPr>
              <w:t>30</w:t>
            </w:r>
            <w:r>
              <w:rPr>
                <w:rFonts w:hint="default"/>
                <w:b/>
                <w:bCs/>
                <w:color w:val="auto"/>
                <w:lang w:val="en-US" w:eastAsia="zh-CN"/>
              </w:rPr>
              <w:t>年</w:t>
            </w:r>
            <w:r>
              <w:rPr>
                <w:rFonts w:hint="eastAsia"/>
                <w:b/>
                <w:bCs/>
                <w:color w:val="auto"/>
                <w:lang w:val="en-US" w:eastAsia="zh-CN"/>
              </w:rPr>
              <w:t>远</w:t>
            </w:r>
            <w:r>
              <w:rPr>
                <w:rFonts w:hint="default"/>
                <w:b/>
                <w:bCs/>
                <w:color w:val="auto"/>
                <w:lang w:val="en-US" w:eastAsia="zh-CN"/>
              </w:rPr>
              <w:t>期目标</w:t>
            </w:r>
          </w:p>
        </w:tc>
        <w:tc>
          <w:tcPr>
            <w:tcW w:w="831" w:type="dxa"/>
            <w:tcBorders>
              <w:tl2br w:val="nil"/>
              <w:tr2bl w:val="nil"/>
            </w:tcBorders>
            <w:noWrap w:val="0"/>
            <w:vAlign w:val="center"/>
          </w:tcPr>
          <w:p>
            <w:pPr>
              <w:pStyle w:val="27"/>
              <w:bidi w:val="0"/>
              <w:rPr>
                <w:rFonts w:hint="default"/>
                <w:b/>
                <w:bCs/>
                <w:color w:val="auto"/>
                <w:lang w:val="en-US" w:eastAsia="zh-CN"/>
              </w:rPr>
            </w:pPr>
            <w:r>
              <w:rPr>
                <w:rFonts w:hint="default"/>
                <w:b/>
                <w:bCs/>
                <w:color w:val="auto"/>
                <w:lang w:val="en-US" w:eastAsia="zh-CN"/>
              </w:rPr>
              <w:t>指标</w:t>
            </w:r>
          </w:p>
          <w:p>
            <w:pPr>
              <w:pStyle w:val="27"/>
              <w:bidi w:val="0"/>
              <w:rPr>
                <w:rFonts w:hint="default"/>
                <w:b/>
                <w:bCs/>
                <w:color w:val="auto"/>
              </w:rPr>
            </w:pPr>
            <w:r>
              <w:rPr>
                <w:rFonts w:hint="default"/>
                <w:b/>
                <w:bCs/>
                <w:color w:val="auto"/>
                <w:lang w:val="en-US" w:eastAsia="zh-CN"/>
              </w:rPr>
              <w:t>属性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生态制度</w:t>
            </w:r>
          </w:p>
        </w:tc>
        <w:tc>
          <w:tcPr>
            <w:tcW w:w="782" w:type="dxa"/>
            <w:vMerge w:val="restart"/>
            <w:tcBorders>
              <w:tl2br w:val="nil"/>
              <w:tr2bl w:val="nil"/>
            </w:tcBorders>
            <w:noWrap w:val="0"/>
            <w:vAlign w:val="center"/>
          </w:tcPr>
          <w:p>
            <w:pPr>
              <w:pStyle w:val="27"/>
              <w:bidi w:val="0"/>
              <w:rPr>
                <w:rFonts w:hint="default"/>
                <w:color w:val="auto"/>
                <w:lang w:val="en-US"/>
              </w:rPr>
            </w:pPr>
            <w:r>
              <w:rPr>
                <w:rFonts w:hint="default"/>
                <w:color w:val="auto"/>
                <w:lang w:val="en-US" w:eastAsia="zh-CN"/>
              </w:rPr>
              <w:t>（一）</w:t>
            </w:r>
            <w:r>
              <w:rPr>
                <w:rFonts w:hint="eastAsia"/>
                <w:color w:val="auto"/>
                <w:lang w:val="en-US" w:eastAsia="zh-CN"/>
              </w:rPr>
              <w:t>建立生态文明制度</w:t>
            </w:r>
          </w:p>
        </w:tc>
        <w:tc>
          <w:tcPr>
            <w:tcW w:w="427" w:type="dxa"/>
            <w:tcBorders>
              <w:tl2br w:val="nil"/>
              <w:tr2bl w:val="nil"/>
            </w:tcBorders>
            <w:noWrap w:val="0"/>
            <w:vAlign w:val="center"/>
          </w:tcPr>
          <w:p>
            <w:pPr>
              <w:pStyle w:val="27"/>
              <w:bidi w:val="0"/>
              <w:rPr>
                <w:rFonts w:hint="default"/>
                <w:color w:val="auto"/>
              </w:rPr>
            </w:pPr>
            <w:r>
              <w:rPr>
                <w:rFonts w:hint="default"/>
                <w:color w:val="auto"/>
                <w:lang w:val="en-US" w:eastAsia="zh-CN"/>
              </w:rPr>
              <w:t>1</w:t>
            </w:r>
          </w:p>
        </w:tc>
        <w:tc>
          <w:tcPr>
            <w:tcW w:w="3008" w:type="dxa"/>
            <w:gridSpan w:val="4"/>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生态文明建设规划及重大</w:t>
            </w:r>
          </w:p>
          <w:p>
            <w:pPr>
              <w:pStyle w:val="27"/>
              <w:bidi w:val="0"/>
              <w:rPr>
                <w:rFonts w:hint="default"/>
                <w:color w:val="auto"/>
              </w:rPr>
            </w:pPr>
            <w:r>
              <w:rPr>
                <w:rFonts w:hint="default"/>
                <w:color w:val="auto"/>
                <w:lang w:val="en-US" w:eastAsia="zh-CN"/>
              </w:rPr>
              <w:t>目标任务部署情况</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gridSpan w:val="2"/>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制定实施</w:t>
            </w:r>
          </w:p>
          <w:p>
            <w:pPr>
              <w:pStyle w:val="27"/>
              <w:rPr>
                <w:rFonts w:hint="default"/>
                <w:color w:val="auto"/>
                <w:lang w:val="en-US" w:eastAsia="zh-CN"/>
              </w:rPr>
            </w:pPr>
            <w:r>
              <w:rPr>
                <w:rFonts w:hint="eastAsia"/>
                <w:color w:val="auto"/>
                <w:lang w:val="en-US" w:eastAsia="zh-CN"/>
              </w:rPr>
              <w:t>有效开展</w:t>
            </w:r>
          </w:p>
        </w:tc>
        <w:tc>
          <w:tcPr>
            <w:tcW w:w="1477" w:type="dxa"/>
            <w:tcBorders>
              <w:tl2br w:val="nil"/>
              <w:tr2bl w:val="nil"/>
            </w:tcBorders>
            <w:noWrap w:val="0"/>
            <w:vAlign w:val="center"/>
          </w:tcPr>
          <w:p>
            <w:pPr>
              <w:pStyle w:val="27"/>
              <w:bidi w:val="0"/>
              <w:rPr>
                <w:rFonts w:hint="eastAsia"/>
                <w:color w:val="auto"/>
                <w:lang w:val="en-US" w:eastAsia="zh-CN"/>
              </w:rPr>
            </w:pPr>
            <w:r>
              <w:rPr>
                <w:rFonts w:hint="eastAsia"/>
                <w:color w:val="auto"/>
                <w:lang w:val="en-US" w:eastAsia="zh-CN"/>
              </w:rPr>
              <w:t>制定中</w:t>
            </w:r>
          </w:p>
          <w:p>
            <w:pPr>
              <w:pStyle w:val="27"/>
              <w:rPr>
                <w:rFonts w:hint="default"/>
                <w:color w:val="auto"/>
                <w:lang w:val="en-US"/>
              </w:rPr>
            </w:pPr>
            <w:r>
              <w:rPr>
                <w:rFonts w:hint="eastAsia"/>
                <w:color w:val="auto"/>
                <w:lang w:val="en-US" w:eastAsia="zh-CN"/>
              </w:rPr>
              <w:t>有效开展</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不达标</w:t>
            </w:r>
          </w:p>
        </w:tc>
        <w:tc>
          <w:tcPr>
            <w:tcW w:w="1721"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制定实施</w:t>
            </w:r>
          </w:p>
          <w:p>
            <w:pPr>
              <w:pStyle w:val="27"/>
              <w:bidi w:val="0"/>
              <w:rPr>
                <w:rFonts w:hint="default"/>
                <w:color w:val="auto"/>
              </w:rPr>
            </w:pPr>
            <w:r>
              <w:rPr>
                <w:rFonts w:hint="eastAsia"/>
                <w:color w:val="auto"/>
                <w:lang w:val="en-US" w:eastAsia="zh-CN"/>
              </w:rPr>
              <w:t>有效开展</w:t>
            </w:r>
          </w:p>
        </w:tc>
        <w:tc>
          <w:tcPr>
            <w:tcW w:w="1802"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制定实施</w:t>
            </w:r>
          </w:p>
          <w:p>
            <w:pPr>
              <w:pStyle w:val="27"/>
              <w:rPr>
                <w:rFonts w:hint="default"/>
                <w:color w:val="auto"/>
              </w:rPr>
            </w:pPr>
            <w:r>
              <w:rPr>
                <w:rFonts w:hint="default"/>
                <w:color w:val="auto"/>
                <w:lang w:val="en-US" w:eastAsia="zh-CN"/>
              </w:rPr>
              <w:t>有效开展</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default"/>
                <w:color w:val="auto"/>
              </w:rPr>
            </w:pPr>
            <w:r>
              <w:rPr>
                <w:rFonts w:hint="eastAsia"/>
                <w:color w:val="auto"/>
                <w:lang w:val="en-US" w:eastAsia="zh-CN"/>
              </w:rPr>
              <w:t>2</w:t>
            </w:r>
          </w:p>
        </w:tc>
        <w:tc>
          <w:tcPr>
            <w:tcW w:w="3008" w:type="dxa"/>
            <w:gridSpan w:val="4"/>
            <w:tcBorders>
              <w:tl2br w:val="nil"/>
              <w:tr2bl w:val="nil"/>
            </w:tcBorders>
            <w:noWrap w:val="0"/>
            <w:vAlign w:val="center"/>
          </w:tcPr>
          <w:p>
            <w:pPr>
              <w:pStyle w:val="27"/>
              <w:bidi w:val="0"/>
              <w:rPr>
                <w:rFonts w:hint="default"/>
                <w:color w:val="auto"/>
              </w:rPr>
            </w:pPr>
            <w:r>
              <w:rPr>
                <w:rFonts w:hint="default"/>
                <w:color w:val="auto"/>
                <w:lang w:val="en-US" w:eastAsia="zh-CN"/>
              </w:rPr>
              <w:t>生态文明建设工作占党政实绩考核的比例</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gridSpan w:val="2"/>
            <w:tcBorders>
              <w:tl2br w:val="nil"/>
              <w:tr2bl w:val="nil"/>
            </w:tcBorders>
            <w:noWrap w:val="0"/>
            <w:vAlign w:val="center"/>
          </w:tcPr>
          <w:p>
            <w:pPr>
              <w:pStyle w:val="27"/>
              <w:bidi w:val="0"/>
              <w:rPr>
                <w:rFonts w:hint="default"/>
                <w:color w:val="auto"/>
              </w:rPr>
            </w:pPr>
            <w:r>
              <w:rPr>
                <w:rFonts w:hint="default"/>
                <w:color w:val="auto"/>
                <w:lang w:val="en-US" w:eastAsia="zh-CN"/>
              </w:rPr>
              <w:t>≥20</w:t>
            </w:r>
          </w:p>
        </w:tc>
        <w:tc>
          <w:tcPr>
            <w:tcW w:w="1477"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16%</w:t>
            </w:r>
          </w:p>
        </w:tc>
        <w:tc>
          <w:tcPr>
            <w:tcW w:w="795" w:type="dxa"/>
            <w:tcBorders>
              <w:tl2br w:val="nil"/>
              <w:tr2bl w:val="nil"/>
            </w:tcBorders>
            <w:noWrap w:val="0"/>
            <w:vAlign w:val="center"/>
          </w:tcPr>
          <w:p>
            <w:pPr>
              <w:pStyle w:val="27"/>
              <w:bidi w:val="0"/>
              <w:rPr>
                <w:rFonts w:hint="default"/>
                <w:color w:val="auto"/>
              </w:rPr>
            </w:pPr>
            <w:r>
              <w:rPr>
                <w:rFonts w:hint="eastAsia"/>
                <w:color w:val="auto"/>
                <w:lang w:val="en-US" w:eastAsia="zh-CN"/>
              </w:rPr>
              <w:t>不</w:t>
            </w: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rPr>
            </w:pPr>
            <w:r>
              <w:rPr>
                <w:rFonts w:hint="default"/>
                <w:color w:val="auto"/>
                <w:lang w:val="en-US" w:eastAsia="zh-CN"/>
              </w:rPr>
              <w:t>≥20</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≥20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default"/>
                <w:color w:val="auto"/>
              </w:rPr>
            </w:pPr>
            <w:r>
              <w:rPr>
                <w:rFonts w:hint="eastAsia"/>
                <w:color w:val="auto"/>
                <w:lang w:val="en-US" w:eastAsia="zh-CN"/>
              </w:rPr>
              <w:t>3</w:t>
            </w:r>
          </w:p>
        </w:tc>
        <w:tc>
          <w:tcPr>
            <w:tcW w:w="3008" w:type="dxa"/>
            <w:gridSpan w:val="4"/>
            <w:tcBorders>
              <w:tl2br w:val="nil"/>
              <w:tr2bl w:val="nil"/>
            </w:tcBorders>
            <w:noWrap w:val="0"/>
            <w:vAlign w:val="center"/>
          </w:tcPr>
          <w:p>
            <w:pPr>
              <w:pStyle w:val="27"/>
              <w:bidi w:val="0"/>
              <w:rPr>
                <w:rFonts w:hint="default"/>
                <w:color w:val="auto"/>
              </w:rPr>
            </w:pPr>
            <w:r>
              <w:rPr>
                <w:rFonts w:hint="default"/>
                <w:color w:val="auto"/>
                <w:lang w:val="en-US" w:eastAsia="zh-CN"/>
              </w:rPr>
              <w:t>河（湖）长制</w:t>
            </w:r>
            <w:r>
              <w:rPr>
                <w:rFonts w:hint="eastAsia"/>
                <w:color w:val="auto"/>
                <w:lang w:val="en-US" w:eastAsia="zh-CN"/>
              </w:rPr>
              <w:t>、</w:t>
            </w:r>
            <w:r>
              <w:rPr>
                <w:rFonts w:hint="default"/>
                <w:color w:val="auto"/>
                <w:lang w:val="en-US" w:eastAsia="zh-CN"/>
              </w:rPr>
              <w:t>林长制</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gridSpan w:val="2"/>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建立</w:t>
            </w:r>
            <w:r>
              <w:rPr>
                <w:rFonts w:hint="default"/>
                <w:color w:val="auto"/>
                <w:lang w:val="en-US" w:eastAsia="zh-CN"/>
              </w:rPr>
              <w:t>实施</w:t>
            </w:r>
          </w:p>
          <w:p>
            <w:pPr>
              <w:pStyle w:val="27"/>
              <w:bidi w:val="0"/>
              <w:rPr>
                <w:rFonts w:hint="default"/>
                <w:color w:val="auto"/>
              </w:rPr>
            </w:pPr>
            <w:r>
              <w:rPr>
                <w:rFonts w:hint="default"/>
                <w:color w:val="auto"/>
                <w:lang w:val="en-US" w:eastAsia="zh-CN"/>
              </w:rPr>
              <w:t>落实到位</w:t>
            </w:r>
          </w:p>
        </w:tc>
        <w:tc>
          <w:tcPr>
            <w:tcW w:w="1477"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建立</w:t>
            </w:r>
            <w:r>
              <w:rPr>
                <w:rFonts w:hint="default"/>
                <w:color w:val="auto"/>
                <w:lang w:val="en-US" w:eastAsia="zh-CN"/>
              </w:rPr>
              <w:t>实施</w:t>
            </w:r>
          </w:p>
          <w:p>
            <w:pPr>
              <w:pStyle w:val="27"/>
              <w:bidi w:val="0"/>
              <w:rPr>
                <w:rFonts w:hint="default"/>
                <w:color w:val="auto"/>
              </w:rPr>
            </w:pPr>
            <w:r>
              <w:rPr>
                <w:rFonts w:hint="default"/>
                <w:color w:val="auto"/>
                <w:lang w:val="en-US" w:eastAsia="zh-CN"/>
              </w:rPr>
              <w:t>落实到位</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建立</w:t>
            </w:r>
            <w:r>
              <w:rPr>
                <w:rFonts w:hint="default"/>
                <w:color w:val="auto"/>
                <w:lang w:val="en-US" w:eastAsia="zh-CN"/>
              </w:rPr>
              <w:t>实施</w:t>
            </w:r>
          </w:p>
          <w:p>
            <w:pPr>
              <w:pStyle w:val="27"/>
              <w:bidi w:val="0"/>
              <w:rPr>
                <w:rFonts w:hint="default"/>
                <w:color w:val="auto"/>
              </w:rPr>
            </w:pPr>
            <w:r>
              <w:rPr>
                <w:rFonts w:hint="default"/>
                <w:color w:val="auto"/>
                <w:lang w:val="en-US" w:eastAsia="zh-CN"/>
              </w:rPr>
              <w:t>落实到位</w:t>
            </w:r>
          </w:p>
        </w:tc>
        <w:tc>
          <w:tcPr>
            <w:tcW w:w="1802"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建立</w:t>
            </w:r>
            <w:r>
              <w:rPr>
                <w:rFonts w:hint="default"/>
                <w:color w:val="auto"/>
                <w:lang w:val="en-US" w:eastAsia="zh-CN"/>
              </w:rPr>
              <w:t>实施</w:t>
            </w:r>
          </w:p>
          <w:p>
            <w:pPr>
              <w:pStyle w:val="27"/>
              <w:bidi w:val="0"/>
              <w:rPr>
                <w:rFonts w:hint="default"/>
                <w:color w:val="auto"/>
              </w:rPr>
            </w:pPr>
            <w:r>
              <w:rPr>
                <w:rFonts w:hint="default"/>
                <w:color w:val="auto"/>
                <w:lang w:val="en-US" w:eastAsia="zh-CN"/>
              </w:rPr>
              <w:t>落实到位</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eastAsia"/>
                <w:color w:val="auto"/>
                <w:lang w:val="en-US" w:eastAsia="zh-CN"/>
              </w:rPr>
            </w:pPr>
            <w:r>
              <w:rPr>
                <w:rFonts w:hint="eastAsia"/>
                <w:color w:val="auto"/>
                <w:lang w:val="en-US" w:eastAsia="zh-CN"/>
              </w:rPr>
              <w:t>4</w:t>
            </w:r>
          </w:p>
        </w:tc>
        <w:tc>
          <w:tcPr>
            <w:tcW w:w="3008" w:type="dxa"/>
            <w:gridSpan w:val="4"/>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省级及以上生态乡镇比例</w:t>
            </w:r>
          </w:p>
        </w:tc>
        <w:tc>
          <w:tcPr>
            <w:tcW w:w="877"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w:t>
            </w:r>
          </w:p>
        </w:tc>
        <w:tc>
          <w:tcPr>
            <w:tcW w:w="1818" w:type="dxa"/>
            <w:gridSpan w:val="2"/>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≥60</w:t>
            </w:r>
          </w:p>
        </w:tc>
        <w:tc>
          <w:tcPr>
            <w:tcW w:w="1477"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eastAsia"/>
                <w:color w:val="auto"/>
                <w:lang w:val="en-US" w:eastAsia="zh-CN"/>
              </w:rPr>
              <w:t>100%</w:t>
            </w:r>
          </w:p>
        </w:tc>
        <w:tc>
          <w:tcPr>
            <w:tcW w:w="795"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w:t>
            </w:r>
            <w:r>
              <w:rPr>
                <w:rFonts w:hint="eastAsia"/>
                <w:color w:val="auto"/>
                <w:lang w:val="en-US" w:eastAsia="zh-CN"/>
              </w:rPr>
              <w:t>60</w:t>
            </w:r>
          </w:p>
        </w:tc>
        <w:tc>
          <w:tcPr>
            <w:tcW w:w="1802"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w:t>
            </w:r>
            <w:r>
              <w:rPr>
                <w:rFonts w:hint="eastAsia"/>
                <w:color w:val="auto"/>
                <w:lang w:val="en-US" w:eastAsia="zh-CN"/>
              </w:rPr>
              <w:t>60</w:t>
            </w:r>
          </w:p>
        </w:tc>
        <w:tc>
          <w:tcPr>
            <w:tcW w:w="83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eastAsia" w:eastAsia="仿宋"/>
                <w:color w:val="auto"/>
                <w:lang w:val="en-US" w:eastAsia="zh-CN"/>
              </w:rPr>
            </w:pPr>
            <w:r>
              <w:rPr>
                <w:rFonts w:hint="eastAsia"/>
                <w:color w:val="auto"/>
                <w:lang w:val="en-US" w:eastAsia="zh-CN"/>
              </w:rPr>
              <w:t>5</w:t>
            </w:r>
          </w:p>
        </w:tc>
        <w:tc>
          <w:tcPr>
            <w:tcW w:w="3008" w:type="dxa"/>
            <w:gridSpan w:val="4"/>
            <w:tcBorders>
              <w:tl2br w:val="nil"/>
              <w:tr2bl w:val="nil"/>
            </w:tcBorders>
            <w:noWrap w:val="0"/>
            <w:vAlign w:val="center"/>
          </w:tcPr>
          <w:p>
            <w:pPr>
              <w:pStyle w:val="27"/>
              <w:bidi w:val="0"/>
              <w:rPr>
                <w:rFonts w:hint="default"/>
                <w:color w:val="auto"/>
              </w:rPr>
            </w:pPr>
            <w:r>
              <w:rPr>
                <w:rFonts w:hint="default"/>
                <w:color w:val="auto"/>
                <w:lang w:val="en-US" w:eastAsia="zh-CN"/>
              </w:rPr>
              <w:t>生态环境信息公开率</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gridSpan w:val="2"/>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1477"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生态安全</w:t>
            </w:r>
          </w:p>
        </w:tc>
        <w:tc>
          <w:tcPr>
            <w:tcW w:w="782" w:type="dxa"/>
            <w:vMerge w:val="restart"/>
            <w:tcBorders>
              <w:tl2br w:val="nil"/>
              <w:tr2bl w:val="nil"/>
            </w:tcBorders>
            <w:noWrap w:val="0"/>
            <w:vAlign w:val="center"/>
          </w:tcPr>
          <w:p>
            <w:pPr>
              <w:pStyle w:val="27"/>
              <w:bidi w:val="0"/>
              <w:rPr>
                <w:rFonts w:hint="default"/>
                <w:color w:val="auto"/>
                <w:lang w:val="en-US"/>
              </w:rPr>
            </w:pPr>
            <w:r>
              <w:rPr>
                <w:rFonts w:hint="default"/>
                <w:color w:val="auto"/>
                <w:lang w:val="en-US" w:eastAsia="zh-CN"/>
              </w:rPr>
              <w:t>（二）</w:t>
            </w:r>
            <w:r>
              <w:rPr>
                <w:rFonts w:hint="eastAsia"/>
                <w:color w:val="auto"/>
                <w:lang w:val="en-US" w:eastAsia="zh-CN"/>
              </w:rPr>
              <w:t>巩固提升环境质量</w:t>
            </w:r>
          </w:p>
        </w:tc>
        <w:tc>
          <w:tcPr>
            <w:tcW w:w="427" w:type="dxa"/>
            <w:tcBorders>
              <w:tl2br w:val="nil"/>
              <w:tr2bl w:val="nil"/>
            </w:tcBorders>
            <w:noWrap w:val="0"/>
            <w:vAlign w:val="center"/>
          </w:tcPr>
          <w:p>
            <w:pPr>
              <w:pStyle w:val="27"/>
              <w:bidi w:val="0"/>
              <w:rPr>
                <w:rFonts w:hint="default"/>
                <w:color w:val="auto"/>
              </w:rPr>
            </w:pPr>
            <w:r>
              <w:rPr>
                <w:rFonts w:hint="eastAsia"/>
                <w:color w:val="auto"/>
                <w:lang w:val="en-US" w:eastAsia="zh-CN"/>
              </w:rPr>
              <w:t>6</w:t>
            </w:r>
          </w:p>
        </w:tc>
        <w:tc>
          <w:tcPr>
            <w:tcW w:w="3008" w:type="dxa"/>
            <w:gridSpan w:val="4"/>
            <w:tcBorders>
              <w:tl2br w:val="nil"/>
              <w:tr2bl w:val="nil"/>
            </w:tcBorders>
            <w:noWrap w:val="0"/>
            <w:vAlign w:val="center"/>
          </w:tcPr>
          <w:p>
            <w:pPr>
              <w:pStyle w:val="27"/>
              <w:bidi w:val="0"/>
              <w:jc w:val="both"/>
              <w:rPr>
                <w:rFonts w:hint="default"/>
                <w:color w:val="auto"/>
                <w:lang w:val="en-US" w:eastAsia="zh-CN"/>
              </w:rPr>
            </w:pPr>
            <w:r>
              <w:rPr>
                <w:rFonts w:hint="default"/>
                <w:color w:val="auto"/>
                <w:lang w:val="en-US" w:eastAsia="zh-CN"/>
              </w:rPr>
              <w:t>环境空气质量：</w:t>
            </w:r>
          </w:p>
          <w:p>
            <w:pPr>
              <w:pStyle w:val="27"/>
              <w:bidi w:val="0"/>
              <w:rPr>
                <w:rFonts w:hint="default"/>
                <w:color w:val="auto"/>
              </w:rPr>
            </w:pPr>
            <w:r>
              <w:rPr>
                <w:rFonts w:hint="default"/>
                <w:color w:val="auto"/>
                <w:lang w:val="en-US" w:eastAsia="zh-CN"/>
              </w:rPr>
              <w:t>PM</w:t>
            </w:r>
            <w:r>
              <w:rPr>
                <w:rFonts w:hint="default"/>
                <w:color w:val="auto"/>
                <w:vertAlign w:val="subscript"/>
                <w:lang w:val="en-US" w:eastAsia="zh-CN"/>
              </w:rPr>
              <w:t>2.5</w:t>
            </w:r>
            <w:r>
              <w:rPr>
                <w:rFonts w:hint="default"/>
                <w:color w:val="auto"/>
                <w:lang w:val="en-US" w:eastAsia="zh-CN"/>
              </w:rPr>
              <w:t>浓度下降幅度</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gridSpan w:val="2"/>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完成上级规定的考核任务</w:t>
            </w:r>
          </w:p>
        </w:tc>
        <w:tc>
          <w:tcPr>
            <w:tcW w:w="1477"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4.4%</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完成上级规定的考核任务</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完成上级规定的考核任务</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9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vMerge w:val="restart"/>
            <w:tcBorders>
              <w:tl2br w:val="nil"/>
              <w:tr2bl w:val="nil"/>
            </w:tcBorders>
            <w:noWrap w:val="0"/>
            <w:vAlign w:val="center"/>
          </w:tcPr>
          <w:p>
            <w:pPr>
              <w:pStyle w:val="27"/>
              <w:bidi w:val="0"/>
              <w:rPr>
                <w:rFonts w:hint="default"/>
                <w:color w:val="auto"/>
              </w:rPr>
            </w:pPr>
            <w:r>
              <w:rPr>
                <w:rFonts w:hint="eastAsia"/>
                <w:color w:val="auto"/>
                <w:lang w:val="en-US" w:eastAsia="zh-CN"/>
              </w:rPr>
              <w:t>7</w:t>
            </w:r>
          </w:p>
        </w:tc>
        <w:tc>
          <w:tcPr>
            <w:tcW w:w="826" w:type="dxa"/>
            <w:gridSpan w:val="3"/>
            <w:vMerge w:val="restart"/>
            <w:tcBorders>
              <w:tl2br w:val="nil"/>
              <w:tr2bl w:val="nil"/>
            </w:tcBorders>
            <w:noWrap w:val="0"/>
            <w:vAlign w:val="center"/>
          </w:tcPr>
          <w:p>
            <w:pPr>
              <w:pStyle w:val="27"/>
              <w:bidi w:val="0"/>
              <w:rPr>
                <w:rFonts w:hint="default"/>
                <w:color w:val="auto"/>
              </w:rPr>
            </w:pPr>
            <w:r>
              <w:rPr>
                <w:rFonts w:hint="eastAsia"/>
                <w:color w:val="auto"/>
                <w:lang w:val="en-US" w:eastAsia="zh-CN"/>
              </w:rPr>
              <w:t>地表水</w:t>
            </w:r>
            <w:r>
              <w:rPr>
                <w:rFonts w:hint="default"/>
                <w:color w:val="auto"/>
                <w:lang w:val="en-US" w:eastAsia="zh-CN"/>
              </w:rPr>
              <w:t>环境质量</w:t>
            </w:r>
          </w:p>
        </w:tc>
        <w:tc>
          <w:tcPr>
            <w:tcW w:w="2182"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水质达到或优于Ⅲ类比例提高幅度</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完成上级规定的考核任务</w:t>
            </w:r>
          </w:p>
        </w:tc>
        <w:tc>
          <w:tcPr>
            <w:tcW w:w="1749" w:type="dxa"/>
            <w:gridSpan w:val="2"/>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795"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831"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vMerge w:val="continue"/>
            <w:tcBorders>
              <w:tl2br w:val="nil"/>
              <w:tr2bl w:val="nil"/>
            </w:tcBorders>
            <w:noWrap w:val="0"/>
            <w:vAlign w:val="center"/>
          </w:tcPr>
          <w:p>
            <w:pPr>
              <w:pStyle w:val="27"/>
              <w:bidi w:val="0"/>
              <w:rPr>
                <w:rFonts w:hint="default"/>
                <w:color w:val="auto"/>
              </w:rPr>
            </w:pPr>
          </w:p>
        </w:tc>
        <w:tc>
          <w:tcPr>
            <w:tcW w:w="826" w:type="dxa"/>
            <w:gridSpan w:val="3"/>
            <w:vMerge w:val="continue"/>
            <w:tcBorders>
              <w:tl2br w:val="nil"/>
              <w:tr2bl w:val="nil"/>
            </w:tcBorders>
            <w:noWrap w:val="0"/>
            <w:vAlign w:val="center"/>
          </w:tcPr>
          <w:p>
            <w:pPr>
              <w:pStyle w:val="27"/>
              <w:bidi w:val="0"/>
              <w:rPr>
                <w:rFonts w:hint="default"/>
                <w:color w:val="auto"/>
              </w:rPr>
            </w:pPr>
          </w:p>
        </w:tc>
        <w:tc>
          <w:tcPr>
            <w:tcW w:w="2182"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Ⅴ类及劣Ⅴ类水体</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eastAsia" w:eastAsia="仿宋"/>
                <w:color w:val="auto"/>
                <w:lang w:val="en-US" w:eastAsia="zh-CN"/>
              </w:rPr>
            </w:pPr>
            <w:r>
              <w:rPr>
                <w:rFonts w:hint="eastAsia"/>
                <w:color w:val="auto"/>
                <w:lang w:val="en-US" w:eastAsia="zh-CN"/>
              </w:rPr>
              <w:t>无</w:t>
            </w:r>
          </w:p>
        </w:tc>
        <w:tc>
          <w:tcPr>
            <w:tcW w:w="1749" w:type="dxa"/>
            <w:gridSpan w:val="2"/>
            <w:tcBorders>
              <w:tl2br w:val="nil"/>
              <w:tr2bl w:val="nil"/>
            </w:tcBorders>
            <w:noWrap w:val="0"/>
            <w:vAlign w:val="center"/>
          </w:tcPr>
          <w:p>
            <w:pPr>
              <w:pStyle w:val="27"/>
              <w:bidi w:val="0"/>
              <w:rPr>
                <w:rFonts w:hint="default"/>
                <w:color w:val="auto"/>
              </w:rPr>
            </w:pPr>
            <w:r>
              <w:rPr>
                <w:rFonts w:hint="eastAsia"/>
                <w:color w:val="auto"/>
                <w:lang w:val="en-US" w:eastAsia="zh-CN"/>
              </w:rPr>
              <w:t>无</w:t>
            </w:r>
          </w:p>
        </w:tc>
        <w:tc>
          <w:tcPr>
            <w:tcW w:w="795" w:type="dxa"/>
            <w:vMerge w:val="continue"/>
            <w:tcBorders>
              <w:tl2br w:val="nil"/>
              <w:tr2bl w:val="nil"/>
            </w:tcBorders>
            <w:noWrap w:val="0"/>
            <w:vAlign w:val="center"/>
          </w:tcPr>
          <w:p>
            <w:pPr>
              <w:pStyle w:val="27"/>
              <w:bidi w:val="0"/>
              <w:rPr>
                <w:rFonts w:hint="default"/>
                <w:color w:val="auto"/>
              </w:rPr>
            </w:pPr>
          </w:p>
        </w:tc>
        <w:tc>
          <w:tcPr>
            <w:tcW w:w="1721" w:type="dxa"/>
            <w:tcBorders>
              <w:tl2br w:val="nil"/>
              <w:tr2bl w:val="nil"/>
            </w:tcBorders>
            <w:noWrap w:val="0"/>
            <w:vAlign w:val="center"/>
          </w:tcPr>
          <w:p>
            <w:pPr>
              <w:pStyle w:val="27"/>
              <w:bidi w:val="0"/>
              <w:rPr>
                <w:rFonts w:hint="default"/>
                <w:color w:val="auto"/>
              </w:rPr>
            </w:pPr>
            <w:r>
              <w:rPr>
                <w:rFonts w:hint="eastAsia"/>
                <w:color w:val="auto"/>
                <w:lang w:val="en-US" w:eastAsia="zh-CN"/>
              </w:rPr>
              <w:t>无</w:t>
            </w:r>
          </w:p>
        </w:tc>
        <w:tc>
          <w:tcPr>
            <w:tcW w:w="1802" w:type="dxa"/>
            <w:tcBorders>
              <w:tl2br w:val="nil"/>
              <w:tr2bl w:val="nil"/>
            </w:tcBorders>
            <w:noWrap w:val="0"/>
            <w:vAlign w:val="center"/>
          </w:tcPr>
          <w:p>
            <w:pPr>
              <w:pStyle w:val="27"/>
              <w:bidi w:val="0"/>
              <w:rPr>
                <w:rFonts w:hint="default"/>
                <w:color w:val="auto"/>
              </w:rPr>
            </w:pPr>
            <w:r>
              <w:rPr>
                <w:rFonts w:hint="eastAsia"/>
                <w:color w:val="auto"/>
                <w:lang w:val="en-US" w:eastAsia="zh-CN"/>
              </w:rPr>
              <w:t>无</w:t>
            </w:r>
          </w:p>
        </w:tc>
        <w:tc>
          <w:tcPr>
            <w:tcW w:w="831" w:type="dxa"/>
            <w:vMerge w:val="continue"/>
            <w:tcBorders>
              <w:tl2br w:val="nil"/>
              <w:tr2bl w:val="nil"/>
            </w:tcBorders>
            <w:noWrap w:val="0"/>
            <w:vAlign w:val="center"/>
          </w:tcPr>
          <w:p>
            <w:pPr>
              <w:pStyle w:val="27"/>
              <w:bidi w:val="0"/>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eastAsia" w:eastAsia="仿宋"/>
                <w:color w:val="auto"/>
                <w:lang w:val="en-US" w:eastAsia="zh-CN"/>
              </w:rPr>
            </w:pPr>
            <w:r>
              <w:rPr>
                <w:rFonts w:hint="eastAsia"/>
                <w:color w:val="auto"/>
                <w:lang w:val="en-US" w:eastAsia="zh-CN"/>
              </w:rPr>
              <w:t>8</w:t>
            </w:r>
          </w:p>
        </w:tc>
        <w:tc>
          <w:tcPr>
            <w:tcW w:w="3008" w:type="dxa"/>
            <w:gridSpan w:val="4"/>
            <w:tcBorders>
              <w:tl2br w:val="nil"/>
              <w:tr2bl w:val="nil"/>
            </w:tcBorders>
            <w:noWrap w:val="0"/>
            <w:vAlign w:val="center"/>
          </w:tcPr>
          <w:p>
            <w:pPr>
              <w:pStyle w:val="27"/>
              <w:bidi w:val="0"/>
              <w:jc w:val="both"/>
              <w:rPr>
                <w:rFonts w:hint="default" w:eastAsia="仿宋"/>
                <w:color w:val="auto"/>
                <w:lang w:val="en-US" w:eastAsia="zh-CN"/>
              </w:rPr>
            </w:pPr>
            <w:r>
              <w:rPr>
                <w:rFonts w:hint="eastAsia"/>
                <w:color w:val="auto"/>
                <w:lang w:val="en-US" w:eastAsia="zh-CN"/>
              </w:rPr>
              <w:t>土壤环境质量：</w:t>
            </w:r>
          </w:p>
          <w:p>
            <w:pPr>
              <w:pStyle w:val="27"/>
              <w:bidi w:val="0"/>
              <w:rPr>
                <w:rFonts w:hint="default"/>
                <w:color w:val="auto"/>
                <w:lang w:val="en-US" w:eastAsia="zh-CN"/>
              </w:rPr>
            </w:pPr>
            <w:r>
              <w:rPr>
                <w:rFonts w:hint="default"/>
                <w:color w:val="auto"/>
                <w:lang w:val="en-US" w:eastAsia="zh-CN"/>
              </w:rPr>
              <w:t>建立疑似污染地块名单</w:t>
            </w:r>
          </w:p>
        </w:tc>
        <w:tc>
          <w:tcPr>
            <w:tcW w:w="877"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建立</w:t>
            </w:r>
          </w:p>
        </w:tc>
        <w:tc>
          <w:tcPr>
            <w:tcW w:w="1749" w:type="dxa"/>
            <w:gridSpan w:val="2"/>
            <w:tcBorders>
              <w:tl2br w:val="nil"/>
              <w:tr2bl w:val="nil"/>
            </w:tcBorders>
            <w:noWrap w:val="0"/>
            <w:vAlign w:val="center"/>
          </w:tcPr>
          <w:p>
            <w:pPr>
              <w:pStyle w:val="27"/>
              <w:bidi w:val="0"/>
              <w:rPr>
                <w:rFonts w:hint="eastAsia"/>
                <w:color w:val="auto"/>
                <w:lang w:val="en-US" w:eastAsia="zh-CN"/>
              </w:rPr>
            </w:pPr>
            <w:r>
              <w:rPr>
                <w:rFonts w:hint="default"/>
                <w:color w:val="auto"/>
                <w:lang w:val="en-US" w:eastAsia="zh-CN"/>
              </w:rPr>
              <w:t>已建立</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eastAsia"/>
                <w:color w:val="auto"/>
                <w:lang w:val="en-US" w:eastAsia="zh-CN"/>
              </w:rPr>
            </w:pPr>
            <w:r>
              <w:rPr>
                <w:rFonts w:hint="default"/>
                <w:color w:val="auto"/>
                <w:lang w:val="en-US" w:eastAsia="zh-CN"/>
              </w:rPr>
              <w:t>建立</w:t>
            </w:r>
          </w:p>
        </w:tc>
        <w:tc>
          <w:tcPr>
            <w:tcW w:w="1802" w:type="dxa"/>
            <w:tcBorders>
              <w:tl2br w:val="nil"/>
              <w:tr2bl w:val="nil"/>
            </w:tcBorders>
            <w:noWrap w:val="0"/>
            <w:vAlign w:val="center"/>
          </w:tcPr>
          <w:p>
            <w:pPr>
              <w:pStyle w:val="27"/>
              <w:bidi w:val="0"/>
              <w:rPr>
                <w:rFonts w:hint="eastAsia"/>
                <w:color w:val="auto"/>
                <w:lang w:val="en-US" w:eastAsia="zh-CN"/>
              </w:rPr>
            </w:pPr>
            <w:r>
              <w:rPr>
                <w:rFonts w:hint="default"/>
                <w:color w:val="auto"/>
                <w:lang w:val="en-US" w:eastAsia="zh-CN"/>
              </w:rPr>
              <w:t>建立</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9</w:t>
            </w:r>
          </w:p>
        </w:tc>
        <w:tc>
          <w:tcPr>
            <w:tcW w:w="3008" w:type="dxa"/>
            <w:gridSpan w:val="4"/>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生态</w:t>
            </w:r>
            <w:r>
              <w:rPr>
                <w:rFonts w:hint="eastAsia"/>
                <w:color w:val="auto"/>
                <w:lang w:val="en-US" w:eastAsia="zh-CN"/>
              </w:rPr>
              <w:t>质量</w:t>
            </w:r>
            <w:r>
              <w:rPr>
                <w:rFonts w:hint="default"/>
                <w:color w:val="auto"/>
                <w:lang w:val="en-US" w:eastAsia="zh-CN"/>
              </w:rPr>
              <w:t>指数（E</w:t>
            </w:r>
            <w:r>
              <w:rPr>
                <w:rFonts w:hint="eastAsia"/>
                <w:color w:val="auto"/>
                <w:lang w:val="en-US" w:eastAsia="zh-CN"/>
              </w:rPr>
              <w:t>Q</w:t>
            </w:r>
            <w:r>
              <w:rPr>
                <w:rFonts w:hint="default"/>
                <w:color w:val="auto"/>
                <w:lang w:val="en-US" w:eastAsia="zh-CN"/>
              </w:rPr>
              <w:t>I）</w:t>
            </w:r>
          </w:p>
        </w:tc>
        <w:tc>
          <w:tcPr>
            <w:tcW w:w="877"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eastAsia"/>
                <w:color w:val="auto"/>
                <w:lang w:val="en-US" w:eastAsia="zh-CN"/>
              </w:rPr>
            </w:pPr>
            <w:r>
              <w:rPr>
                <w:rFonts w:hint="default"/>
                <w:color w:val="auto"/>
                <w:lang w:val="en-US" w:eastAsia="zh-CN"/>
              </w:rPr>
              <w:t>≥70</w:t>
            </w:r>
          </w:p>
        </w:tc>
        <w:tc>
          <w:tcPr>
            <w:tcW w:w="1749" w:type="dxa"/>
            <w:gridSpan w:val="2"/>
            <w:tcBorders>
              <w:tl2br w:val="nil"/>
              <w:tr2bl w:val="nil"/>
            </w:tcBorders>
            <w:noWrap w:val="0"/>
            <w:vAlign w:val="center"/>
          </w:tcPr>
          <w:p>
            <w:pPr>
              <w:pStyle w:val="27"/>
              <w:bidi w:val="0"/>
              <w:rPr>
                <w:rFonts w:hint="default"/>
                <w:color w:val="auto"/>
                <w:lang w:val="en-US" w:eastAsia="zh-CN"/>
              </w:rPr>
            </w:pPr>
            <w:r>
              <w:rPr>
                <w:rFonts w:hint="default"/>
                <w:color w:val="auto"/>
                <w:lang w:val="en-US"/>
              </w:rPr>
              <w:t>46.48</w:t>
            </w:r>
          </w:p>
        </w:tc>
        <w:tc>
          <w:tcPr>
            <w:tcW w:w="795"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eastAsia"/>
                <w:color w:val="auto"/>
                <w:lang w:val="en-US" w:eastAsia="zh-CN"/>
              </w:rPr>
              <w:t>不</w:t>
            </w: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w:t>
            </w:r>
            <w:r>
              <w:rPr>
                <w:rFonts w:hint="eastAsia"/>
                <w:color w:val="auto"/>
                <w:lang w:val="en-US" w:eastAsia="zh-CN"/>
              </w:rPr>
              <w:t>70</w:t>
            </w:r>
          </w:p>
        </w:tc>
        <w:tc>
          <w:tcPr>
            <w:tcW w:w="1802"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w:t>
            </w:r>
            <w:r>
              <w:rPr>
                <w:rFonts w:hint="eastAsia"/>
                <w:color w:val="auto"/>
                <w:lang w:val="en-US" w:eastAsia="zh-CN"/>
              </w:rPr>
              <w:t>70</w:t>
            </w:r>
          </w:p>
        </w:tc>
        <w:tc>
          <w:tcPr>
            <w:tcW w:w="83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restart"/>
            <w:tcBorders>
              <w:tl2br w:val="nil"/>
              <w:tr2bl w:val="nil"/>
            </w:tcBorders>
            <w:noWrap w:val="0"/>
            <w:vAlign w:val="center"/>
          </w:tcPr>
          <w:p>
            <w:pPr>
              <w:pStyle w:val="27"/>
              <w:bidi w:val="0"/>
              <w:rPr>
                <w:rFonts w:hint="default"/>
                <w:color w:val="auto"/>
                <w:lang w:val="en-US"/>
              </w:rPr>
            </w:pPr>
            <w:r>
              <w:rPr>
                <w:rFonts w:hint="default"/>
                <w:color w:val="auto"/>
                <w:lang w:val="en-US" w:eastAsia="zh-CN"/>
              </w:rPr>
              <w:t>（三）</w:t>
            </w:r>
            <w:r>
              <w:rPr>
                <w:rFonts w:hint="eastAsia"/>
                <w:color w:val="auto"/>
                <w:lang w:val="en-US" w:eastAsia="zh-CN"/>
              </w:rPr>
              <w:t>维护自然生态系统</w:t>
            </w:r>
          </w:p>
        </w:tc>
        <w:tc>
          <w:tcPr>
            <w:tcW w:w="427"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1</w:t>
            </w:r>
            <w:r>
              <w:rPr>
                <w:rFonts w:hint="eastAsia"/>
                <w:color w:val="auto"/>
                <w:lang w:val="en-US" w:eastAsia="zh-CN"/>
              </w:rPr>
              <w:t>0</w:t>
            </w:r>
          </w:p>
        </w:tc>
        <w:tc>
          <w:tcPr>
            <w:tcW w:w="3008" w:type="dxa"/>
            <w:gridSpan w:val="4"/>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森林覆盖率</w:t>
            </w:r>
          </w:p>
        </w:tc>
        <w:tc>
          <w:tcPr>
            <w:tcW w:w="877"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w:t>
            </w:r>
            <w:r>
              <w:rPr>
                <w:rFonts w:hint="eastAsia"/>
                <w:color w:val="auto"/>
                <w:lang w:val="en-US" w:eastAsia="zh-CN"/>
              </w:rPr>
              <w:t>18</w:t>
            </w:r>
            <w:r>
              <w:rPr>
                <w:rFonts w:hint="default"/>
                <w:color w:val="auto"/>
                <w:lang w:val="en-US" w:eastAsia="zh-CN"/>
              </w:rPr>
              <w:t>（</w:t>
            </w:r>
            <w:r>
              <w:rPr>
                <w:rFonts w:hint="eastAsia"/>
                <w:color w:val="auto"/>
                <w:lang w:val="en-US" w:eastAsia="zh-CN"/>
              </w:rPr>
              <w:t>平原区</w:t>
            </w:r>
            <w:r>
              <w:rPr>
                <w:rFonts w:hint="default"/>
                <w:color w:val="auto"/>
                <w:lang w:val="en-US" w:eastAsia="zh-CN"/>
              </w:rPr>
              <w:t>）</w:t>
            </w:r>
          </w:p>
        </w:tc>
        <w:tc>
          <w:tcPr>
            <w:tcW w:w="1749" w:type="dxa"/>
            <w:gridSpan w:val="2"/>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eastAsia"/>
                <w:color w:val="auto"/>
                <w:lang w:val="en-US" w:eastAsia="zh-CN"/>
              </w:rPr>
              <w:t>12.1</w:t>
            </w:r>
          </w:p>
        </w:tc>
        <w:tc>
          <w:tcPr>
            <w:tcW w:w="795"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eastAsia"/>
                <w:color w:val="auto"/>
                <w:lang w:val="en-US" w:eastAsia="zh-CN"/>
              </w:rPr>
              <w:t>不</w:t>
            </w: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eastAsia"/>
                <w:color w:val="auto"/>
                <w:lang w:val="en-US" w:eastAsia="zh-CN"/>
              </w:rPr>
              <w:t>12.1</w:t>
            </w:r>
          </w:p>
        </w:tc>
        <w:tc>
          <w:tcPr>
            <w:tcW w:w="1802"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eastAsia"/>
                <w:color w:val="auto"/>
                <w:lang w:val="en-US" w:eastAsia="zh-CN"/>
              </w:rPr>
              <w:t>12.1</w:t>
            </w:r>
          </w:p>
        </w:tc>
        <w:tc>
          <w:tcPr>
            <w:tcW w:w="83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1</w:t>
            </w:r>
            <w:r>
              <w:rPr>
                <w:rFonts w:hint="eastAsia"/>
                <w:color w:val="auto"/>
                <w:lang w:val="en-US" w:eastAsia="zh-CN"/>
              </w:rPr>
              <w:t>1</w:t>
            </w:r>
          </w:p>
        </w:tc>
        <w:tc>
          <w:tcPr>
            <w:tcW w:w="803"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生物多样性保护</w:t>
            </w:r>
          </w:p>
        </w:tc>
        <w:tc>
          <w:tcPr>
            <w:tcW w:w="2205" w:type="dxa"/>
            <w:gridSpan w:val="3"/>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国家</w:t>
            </w:r>
            <w:r>
              <w:rPr>
                <w:rFonts w:hint="eastAsia"/>
                <w:color w:val="auto"/>
                <w:lang w:val="en-US" w:eastAsia="zh-CN"/>
              </w:rPr>
              <w:t>、省级</w:t>
            </w:r>
            <w:r>
              <w:rPr>
                <w:rFonts w:hint="default"/>
                <w:color w:val="auto"/>
                <w:lang w:val="en-US" w:eastAsia="zh-CN"/>
              </w:rPr>
              <w:t>重点保护野生动植物保护率</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color w:val="auto"/>
              </w:rPr>
            </w:pPr>
            <w:r>
              <w:rPr>
                <w:rFonts w:hint="default"/>
                <w:color w:val="auto"/>
                <w:lang w:val="en-US" w:eastAsia="zh-CN"/>
              </w:rPr>
              <w:t>≥95</w:t>
            </w:r>
          </w:p>
        </w:tc>
        <w:tc>
          <w:tcPr>
            <w:tcW w:w="1749" w:type="dxa"/>
            <w:gridSpan w:val="2"/>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≥95</w:t>
            </w:r>
          </w:p>
        </w:tc>
        <w:tc>
          <w:tcPr>
            <w:tcW w:w="795"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lang w:val="en-US"/>
              </w:rPr>
            </w:pPr>
            <w:r>
              <w:rPr>
                <w:rFonts w:hint="default"/>
                <w:color w:val="auto"/>
                <w:lang w:val="en-US" w:eastAsia="zh-CN"/>
              </w:rPr>
              <w:t>≥95</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≥95</w:t>
            </w:r>
          </w:p>
        </w:tc>
        <w:tc>
          <w:tcPr>
            <w:tcW w:w="831"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vMerge w:val="continue"/>
            <w:tcBorders>
              <w:tl2br w:val="nil"/>
              <w:tr2bl w:val="nil"/>
            </w:tcBorders>
            <w:noWrap w:val="0"/>
            <w:vAlign w:val="center"/>
          </w:tcPr>
          <w:p>
            <w:pPr>
              <w:pStyle w:val="27"/>
              <w:bidi w:val="0"/>
              <w:rPr>
                <w:rFonts w:hint="default"/>
                <w:color w:val="auto"/>
              </w:rPr>
            </w:pPr>
          </w:p>
        </w:tc>
        <w:tc>
          <w:tcPr>
            <w:tcW w:w="803" w:type="dxa"/>
            <w:vMerge w:val="continue"/>
            <w:tcBorders>
              <w:tl2br w:val="nil"/>
              <w:tr2bl w:val="nil"/>
            </w:tcBorders>
            <w:noWrap w:val="0"/>
            <w:vAlign w:val="center"/>
          </w:tcPr>
          <w:p>
            <w:pPr>
              <w:pStyle w:val="27"/>
              <w:bidi w:val="0"/>
              <w:rPr>
                <w:rFonts w:hint="default"/>
                <w:color w:val="auto"/>
              </w:rPr>
            </w:pPr>
          </w:p>
        </w:tc>
        <w:tc>
          <w:tcPr>
            <w:tcW w:w="2205" w:type="dxa"/>
            <w:gridSpan w:val="3"/>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外来物种入侵</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不明显</w:t>
            </w:r>
          </w:p>
        </w:tc>
        <w:tc>
          <w:tcPr>
            <w:tcW w:w="1749" w:type="dxa"/>
            <w:gridSpan w:val="2"/>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不明显</w:t>
            </w:r>
          </w:p>
        </w:tc>
        <w:tc>
          <w:tcPr>
            <w:tcW w:w="795" w:type="dxa"/>
            <w:vMerge w:val="continue"/>
            <w:tcBorders>
              <w:tl2br w:val="nil"/>
              <w:tr2bl w:val="nil"/>
            </w:tcBorders>
            <w:noWrap w:val="0"/>
            <w:vAlign w:val="center"/>
          </w:tcPr>
          <w:p>
            <w:pPr>
              <w:pStyle w:val="27"/>
              <w:bidi w:val="0"/>
              <w:rPr>
                <w:rFonts w:hint="default"/>
                <w:color w:val="auto"/>
                <w:lang w:val="en-US" w:eastAsia="zh-CN"/>
              </w:rPr>
            </w:pPr>
          </w:p>
        </w:tc>
        <w:tc>
          <w:tcPr>
            <w:tcW w:w="1721"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不明显</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不明显</w:t>
            </w:r>
          </w:p>
        </w:tc>
        <w:tc>
          <w:tcPr>
            <w:tcW w:w="831" w:type="dxa"/>
            <w:vMerge w:val="continue"/>
            <w:tcBorders>
              <w:tl2br w:val="nil"/>
              <w:tr2bl w:val="nil"/>
            </w:tcBorders>
            <w:noWrap w:val="0"/>
            <w:vAlign w:val="center"/>
          </w:tcPr>
          <w:p>
            <w:pPr>
              <w:pStyle w:val="27"/>
              <w:bidi w:val="0"/>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default"/>
                <w:color w:val="auto"/>
              </w:rPr>
            </w:pPr>
            <w:r>
              <w:rPr>
                <w:rFonts w:hint="default"/>
                <w:color w:val="auto"/>
                <w:lang w:val="en-US" w:eastAsia="zh-CN"/>
              </w:rPr>
              <w:t>1</w:t>
            </w:r>
            <w:r>
              <w:rPr>
                <w:rFonts w:hint="eastAsia"/>
                <w:color w:val="auto"/>
                <w:lang w:val="en-US" w:eastAsia="zh-CN"/>
              </w:rPr>
              <w:t>2</w:t>
            </w:r>
          </w:p>
        </w:tc>
        <w:tc>
          <w:tcPr>
            <w:tcW w:w="3008" w:type="dxa"/>
            <w:gridSpan w:val="4"/>
            <w:tcBorders>
              <w:tl2br w:val="nil"/>
              <w:tr2bl w:val="nil"/>
            </w:tcBorders>
            <w:noWrap w:val="0"/>
            <w:vAlign w:val="center"/>
          </w:tcPr>
          <w:p>
            <w:pPr>
              <w:pStyle w:val="27"/>
              <w:bidi w:val="0"/>
              <w:rPr>
                <w:rFonts w:hint="default"/>
                <w:color w:val="auto"/>
              </w:rPr>
            </w:pPr>
            <w:r>
              <w:rPr>
                <w:rFonts w:hint="default"/>
                <w:color w:val="auto"/>
                <w:lang w:val="en-US" w:eastAsia="zh-CN"/>
              </w:rPr>
              <w:t>湿地保护率</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color w:val="auto"/>
              </w:rPr>
            </w:pPr>
            <w:r>
              <w:rPr>
                <w:rFonts w:hint="default"/>
                <w:color w:val="auto"/>
                <w:lang w:val="en-US" w:eastAsia="zh-CN"/>
              </w:rPr>
              <w:t>≥52</w:t>
            </w:r>
          </w:p>
        </w:tc>
        <w:tc>
          <w:tcPr>
            <w:tcW w:w="1749" w:type="dxa"/>
            <w:gridSpan w:val="2"/>
            <w:tcBorders>
              <w:tl2br w:val="nil"/>
              <w:tr2bl w:val="nil"/>
            </w:tcBorders>
            <w:noWrap w:val="0"/>
            <w:vAlign w:val="center"/>
          </w:tcPr>
          <w:p>
            <w:pPr>
              <w:pStyle w:val="27"/>
              <w:bidi w:val="0"/>
              <w:rPr>
                <w:rFonts w:hint="default"/>
                <w:color w:val="auto"/>
                <w:lang w:val="en-US"/>
              </w:rPr>
            </w:pPr>
            <w:r>
              <w:rPr>
                <w:rFonts w:hint="eastAsia"/>
                <w:color w:val="auto"/>
                <w:lang w:val="en-US" w:eastAsia="zh-CN"/>
              </w:rPr>
              <w:t>17.28</w:t>
            </w:r>
          </w:p>
        </w:tc>
        <w:tc>
          <w:tcPr>
            <w:tcW w:w="795" w:type="dxa"/>
            <w:tcBorders>
              <w:tl2br w:val="nil"/>
              <w:tr2bl w:val="nil"/>
            </w:tcBorders>
            <w:noWrap w:val="0"/>
            <w:vAlign w:val="center"/>
          </w:tcPr>
          <w:p>
            <w:pPr>
              <w:pStyle w:val="27"/>
              <w:bidi w:val="0"/>
              <w:rPr>
                <w:rFonts w:hint="default"/>
                <w:color w:val="auto"/>
              </w:rPr>
            </w:pPr>
            <w:r>
              <w:rPr>
                <w:rFonts w:hint="eastAsia"/>
                <w:color w:val="auto"/>
                <w:lang w:val="en-US" w:eastAsia="zh-CN"/>
              </w:rPr>
              <w:t>不</w:t>
            </w: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18%</w:t>
            </w:r>
          </w:p>
        </w:tc>
        <w:tc>
          <w:tcPr>
            <w:tcW w:w="1802"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20%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default"/>
                <w:color w:val="auto"/>
              </w:rPr>
            </w:pPr>
            <w:r>
              <w:rPr>
                <w:rFonts w:hint="default"/>
                <w:color w:val="auto"/>
                <w:lang w:val="en-US" w:eastAsia="zh-CN"/>
              </w:rPr>
              <w:t>1</w:t>
            </w:r>
            <w:r>
              <w:rPr>
                <w:rFonts w:hint="eastAsia"/>
                <w:color w:val="auto"/>
                <w:lang w:val="en-US" w:eastAsia="zh-CN"/>
              </w:rPr>
              <w:t>3</w:t>
            </w:r>
          </w:p>
        </w:tc>
        <w:tc>
          <w:tcPr>
            <w:tcW w:w="3008" w:type="dxa"/>
            <w:gridSpan w:val="4"/>
            <w:tcBorders>
              <w:tl2br w:val="nil"/>
              <w:tr2bl w:val="nil"/>
            </w:tcBorders>
            <w:noWrap w:val="0"/>
            <w:vAlign w:val="center"/>
          </w:tcPr>
          <w:p>
            <w:pPr>
              <w:pStyle w:val="27"/>
              <w:bidi w:val="0"/>
              <w:jc w:val="both"/>
              <w:rPr>
                <w:rFonts w:hint="default"/>
                <w:color w:val="auto"/>
                <w:lang w:val="en-US" w:eastAsia="zh-CN"/>
              </w:rPr>
            </w:pPr>
            <w:r>
              <w:rPr>
                <w:rFonts w:hint="default"/>
                <w:color w:val="auto"/>
                <w:lang w:val="en-US" w:eastAsia="zh-CN"/>
              </w:rPr>
              <w:t>生态恢复治理：</w:t>
            </w:r>
          </w:p>
          <w:p>
            <w:pPr>
              <w:pStyle w:val="27"/>
              <w:bidi w:val="0"/>
              <w:rPr>
                <w:rFonts w:hint="default"/>
                <w:color w:val="auto"/>
              </w:rPr>
            </w:pPr>
            <w:r>
              <w:rPr>
                <w:rFonts w:hint="default"/>
                <w:color w:val="auto"/>
                <w:lang w:val="en-US" w:eastAsia="zh-CN"/>
              </w:rPr>
              <w:t>矿山生态修复净增治理面积</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公顷</w:t>
            </w:r>
          </w:p>
        </w:tc>
        <w:tc>
          <w:tcPr>
            <w:tcW w:w="1546" w:type="dxa"/>
            <w:tcBorders>
              <w:tl2br w:val="nil"/>
              <w:tr2bl w:val="nil"/>
            </w:tcBorders>
            <w:noWrap w:val="0"/>
            <w:vAlign w:val="center"/>
          </w:tcPr>
          <w:p>
            <w:pPr>
              <w:pStyle w:val="27"/>
              <w:bidi w:val="0"/>
              <w:rPr>
                <w:rFonts w:hint="default"/>
                <w:color w:val="auto"/>
              </w:rPr>
            </w:pPr>
            <w:r>
              <w:rPr>
                <w:rFonts w:hint="default"/>
                <w:color w:val="auto"/>
                <w:lang w:val="en-US" w:eastAsia="zh-CN"/>
              </w:rPr>
              <w:t>≥0</w:t>
            </w:r>
          </w:p>
        </w:tc>
        <w:tc>
          <w:tcPr>
            <w:tcW w:w="1749" w:type="dxa"/>
            <w:gridSpan w:val="2"/>
            <w:tcBorders>
              <w:tl2br w:val="nil"/>
              <w:tr2bl w:val="nil"/>
            </w:tcBorders>
            <w:noWrap w:val="0"/>
            <w:vAlign w:val="center"/>
          </w:tcPr>
          <w:p>
            <w:pPr>
              <w:pStyle w:val="27"/>
              <w:bidi w:val="0"/>
              <w:rPr>
                <w:rFonts w:hint="default"/>
                <w:color w:val="auto"/>
                <w:lang w:val="en-US"/>
              </w:rPr>
            </w:pPr>
            <w:r>
              <w:rPr>
                <w:rFonts w:hint="eastAsia"/>
                <w:color w:val="auto"/>
                <w:lang w:val="en-US" w:eastAsia="zh-CN"/>
              </w:rPr>
              <w:t>11.55</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≥0</w:t>
            </w:r>
          </w:p>
        </w:tc>
        <w:tc>
          <w:tcPr>
            <w:tcW w:w="1802"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（四）防范</w:t>
            </w:r>
            <w:r>
              <w:rPr>
                <w:rFonts w:hint="eastAsia"/>
                <w:color w:val="auto"/>
                <w:lang w:val="en-US" w:eastAsia="zh-CN"/>
              </w:rPr>
              <w:t>生态</w:t>
            </w:r>
            <w:r>
              <w:rPr>
                <w:rFonts w:hint="default"/>
                <w:color w:val="auto"/>
                <w:lang w:val="en-US" w:eastAsia="zh-CN"/>
              </w:rPr>
              <w:t>环境风险</w:t>
            </w:r>
          </w:p>
        </w:tc>
        <w:tc>
          <w:tcPr>
            <w:tcW w:w="427" w:type="dxa"/>
            <w:tcBorders>
              <w:tl2br w:val="nil"/>
              <w:tr2bl w:val="nil"/>
            </w:tcBorders>
            <w:noWrap w:val="0"/>
            <w:vAlign w:val="center"/>
          </w:tcPr>
          <w:p>
            <w:pPr>
              <w:pStyle w:val="27"/>
              <w:bidi w:val="0"/>
              <w:rPr>
                <w:rFonts w:hint="default"/>
                <w:color w:val="auto"/>
              </w:rPr>
            </w:pPr>
            <w:r>
              <w:rPr>
                <w:rFonts w:hint="default"/>
                <w:color w:val="auto"/>
                <w:lang w:val="en-US" w:eastAsia="zh-CN"/>
              </w:rPr>
              <w:t>1</w:t>
            </w:r>
            <w:r>
              <w:rPr>
                <w:rFonts w:hint="eastAsia"/>
                <w:color w:val="auto"/>
                <w:lang w:val="en-US" w:eastAsia="zh-CN"/>
              </w:rPr>
              <w:t>4</w:t>
            </w:r>
          </w:p>
        </w:tc>
        <w:tc>
          <w:tcPr>
            <w:tcW w:w="3008" w:type="dxa"/>
            <w:gridSpan w:val="4"/>
            <w:tcBorders>
              <w:tl2br w:val="nil"/>
              <w:tr2bl w:val="nil"/>
            </w:tcBorders>
            <w:noWrap w:val="0"/>
            <w:vAlign w:val="center"/>
          </w:tcPr>
          <w:p>
            <w:pPr>
              <w:pStyle w:val="27"/>
              <w:bidi w:val="0"/>
              <w:rPr>
                <w:rFonts w:hint="default"/>
                <w:color w:val="auto"/>
              </w:rPr>
            </w:pPr>
            <w:r>
              <w:rPr>
                <w:rFonts w:hint="default"/>
                <w:color w:val="auto"/>
                <w:lang w:val="en-US" w:eastAsia="zh-CN"/>
              </w:rPr>
              <w:t>危险废物利用处置率</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1749" w:type="dxa"/>
            <w:gridSpan w:val="2"/>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default"/>
                <w:color w:val="auto"/>
              </w:rPr>
            </w:pPr>
            <w:r>
              <w:rPr>
                <w:rFonts w:hint="default"/>
                <w:color w:val="auto"/>
                <w:lang w:val="en-US" w:eastAsia="zh-CN"/>
              </w:rPr>
              <w:t>1</w:t>
            </w:r>
            <w:r>
              <w:rPr>
                <w:rFonts w:hint="eastAsia"/>
                <w:color w:val="auto"/>
                <w:lang w:val="en-US" w:eastAsia="zh-CN"/>
              </w:rPr>
              <w:t>5</w:t>
            </w:r>
          </w:p>
        </w:tc>
        <w:tc>
          <w:tcPr>
            <w:tcW w:w="3008" w:type="dxa"/>
            <w:gridSpan w:val="4"/>
            <w:tcBorders>
              <w:tl2br w:val="nil"/>
              <w:tr2bl w:val="nil"/>
            </w:tcBorders>
            <w:noWrap w:val="0"/>
            <w:vAlign w:val="center"/>
          </w:tcPr>
          <w:p>
            <w:pPr>
              <w:pStyle w:val="27"/>
              <w:bidi w:val="0"/>
              <w:rPr>
                <w:rFonts w:hint="default"/>
                <w:color w:val="auto"/>
              </w:rPr>
            </w:pPr>
            <w:r>
              <w:rPr>
                <w:rFonts w:hint="default"/>
                <w:color w:val="auto"/>
                <w:lang w:val="en-US" w:eastAsia="zh-CN"/>
              </w:rPr>
              <w:t>突发生态环境事件应急管理机制</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color w:val="auto"/>
              </w:rPr>
            </w:pPr>
            <w:r>
              <w:rPr>
                <w:rFonts w:hint="default"/>
                <w:color w:val="auto"/>
                <w:lang w:val="en-US" w:eastAsia="zh-CN"/>
              </w:rPr>
              <w:t>建立</w:t>
            </w:r>
          </w:p>
        </w:tc>
        <w:tc>
          <w:tcPr>
            <w:tcW w:w="1749" w:type="dxa"/>
            <w:gridSpan w:val="2"/>
            <w:tcBorders>
              <w:tl2br w:val="nil"/>
              <w:tr2bl w:val="nil"/>
            </w:tcBorders>
            <w:noWrap w:val="0"/>
            <w:vAlign w:val="center"/>
          </w:tcPr>
          <w:p>
            <w:pPr>
              <w:pStyle w:val="27"/>
              <w:bidi w:val="0"/>
              <w:rPr>
                <w:rFonts w:hint="default"/>
                <w:color w:val="auto"/>
              </w:rPr>
            </w:pPr>
            <w:r>
              <w:rPr>
                <w:rFonts w:hint="default"/>
                <w:color w:val="auto"/>
                <w:lang w:val="en-US" w:eastAsia="zh-CN"/>
              </w:rPr>
              <w:t>已建立</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rPr>
            </w:pPr>
            <w:r>
              <w:rPr>
                <w:rFonts w:hint="default"/>
                <w:color w:val="auto"/>
                <w:lang w:val="en-US" w:eastAsia="zh-CN"/>
              </w:rPr>
              <w:t>建立</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建立</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生态空间</w:t>
            </w:r>
          </w:p>
        </w:tc>
        <w:tc>
          <w:tcPr>
            <w:tcW w:w="782"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（五）空间格局优化</w:t>
            </w:r>
          </w:p>
        </w:tc>
        <w:tc>
          <w:tcPr>
            <w:tcW w:w="427" w:type="dxa"/>
            <w:tcBorders>
              <w:tl2br w:val="nil"/>
              <w:tr2bl w:val="nil"/>
            </w:tcBorders>
            <w:noWrap w:val="0"/>
            <w:vAlign w:val="center"/>
          </w:tcPr>
          <w:p>
            <w:pPr>
              <w:pStyle w:val="27"/>
              <w:bidi w:val="0"/>
              <w:rPr>
                <w:rFonts w:hint="default"/>
                <w:color w:val="auto"/>
              </w:rPr>
            </w:pPr>
            <w:r>
              <w:rPr>
                <w:rFonts w:hint="default"/>
                <w:color w:val="auto"/>
                <w:lang w:val="en-US" w:eastAsia="zh-CN"/>
              </w:rPr>
              <w:t>1</w:t>
            </w:r>
            <w:r>
              <w:rPr>
                <w:rFonts w:hint="eastAsia"/>
                <w:color w:val="auto"/>
                <w:lang w:val="en-US" w:eastAsia="zh-CN"/>
              </w:rPr>
              <w:t>6</w:t>
            </w:r>
          </w:p>
        </w:tc>
        <w:tc>
          <w:tcPr>
            <w:tcW w:w="3008" w:type="dxa"/>
            <w:gridSpan w:val="4"/>
            <w:tcBorders>
              <w:tl2br w:val="nil"/>
              <w:tr2bl w:val="nil"/>
            </w:tcBorders>
            <w:noWrap w:val="0"/>
            <w:vAlign w:val="center"/>
          </w:tcPr>
          <w:p>
            <w:pPr>
              <w:pStyle w:val="27"/>
              <w:bidi w:val="0"/>
              <w:rPr>
                <w:rFonts w:hint="default"/>
                <w:color w:val="auto"/>
              </w:rPr>
            </w:pPr>
            <w:r>
              <w:rPr>
                <w:rFonts w:hint="default"/>
                <w:color w:val="auto"/>
                <w:lang w:val="en-US" w:eastAsia="zh-CN"/>
              </w:rPr>
              <w:t>生态保护红线</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color w:val="auto"/>
              </w:rPr>
            </w:pPr>
            <w:r>
              <w:rPr>
                <w:rFonts w:hint="default"/>
                <w:color w:val="auto"/>
                <w:lang w:val="en-US" w:eastAsia="zh-CN"/>
              </w:rPr>
              <w:t>性质不改变，功能不降低</w:t>
            </w:r>
          </w:p>
        </w:tc>
        <w:tc>
          <w:tcPr>
            <w:tcW w:w="1749" w:type="dxa"/>
            <w:gridSpan w:val="2"/>
            <w:tcBorders>
              <w:tl2br w:val="nil"/>
              <w:tr2bl w:val="nil"/>
            </w:tcBorders>
            <w:noWrap w:val="0"/>
            <w:vAlign w:val="center"/>
          </w:tcPr>
          <w:p>
            <w:pPr>
              <w:pStyle w:val="27"/>
              <w:bidi w:val="0"/>
              <w:rPr>
                <w:rFonts w:hint="default"/>
                <w:color w:val="auto"/>
              </w:rPr>
            </w:pPr>
            <w:r>
              <w:rPr>
                <w:rFonts w:hint="eastAsia"/>
                <w:color w:val="auto"/>
                <w:lang w:val="en-US" w:eastAsia="zh-CN"/>
              </w:rPr>
              <w:t>2022年，红谷滩区生态保护红线面积3.86平方公里，</w:t>
            </w:r>
            <w:r>
              <w:rPr>
                <w:rFonts w:hint="default"/>
                <w:color w:val="auto"/>
                <w:lang w:val="en-US" w:eastAsia="zh-CN"/>
              </w:rPr>
              <w:t>性质</w:t>
            </w:r>
            <w:r>
              <w:rPr>
                <w:rFonts w:hint="eastAsia"/>
                <w:color w:val="auto"/>
                <w:lang w:val="en-US" w:eastAsia="zh-CN"/>
              </w:rPr>
              <w:t>未发生</w:t>
            </w:r>
            <w:r>
              <w:rPr>
                <w:rFonts w:hint="default"/>
                <w:color w:val="auto"/>
                <w:lang w:val="en-US" w:eastAsia="zh-CN"/>
              </w:rPr>
              <w:t>改变，功能</w:t>
            </w:r>
            <w:r>
              <w:rPr>
                <w:rFonts w:hint="eastAsia"/>
                <w:color w:val="auto"/>
                <w:lang w:val="en-US" w:eastAsia="zh-CN"/>
              </w:rPr>
              <w:t>未</w:t>
            </w:r>
            <w:r>
              <w:rPr>
                <w:rFonts w:hint="default"/>
                <w:color w:val="auto"/>
                <w:lang w:val="en-US" w:eastAsia="zh-CN"/>
              </w:rPr>
              <w:t>降低</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rPr>
            </w:pPr>
            <w:r>
              <w:rPr>
                <w:rFonts w:hint="default"/>
                <w:color w:val="auto"/>
                <w:lang w:val="en-US" w:eastAsia="zh-CN"/>
              </w:rPr>
              <w:t>性质不改变，功能不降低</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性质不改变，功能不降低</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17</w:t>
            </w:r>
          </w:p>
        </w:tc>
        <w:tc>
          <w:tcPr>
            <w:tcW w:w="3008" w:type="dxa"/>
            <w:gridSpan w:val="4"/>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自然保护地</w:t>
            </w:r>
          </w:p>
        </w:tc>
        <w:tc>
          <w:tcPr>
            <w:tcW w:w="877"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color w:val="auto"/>
              </w:rPr>
            </w:pPr>
            <w:r>
              <w:rPr>
                <w:rFonts w:hint="default"/>
                <w:color w:val="auto"/>
                <w:lang w:val="en-US" w:eastAsia="zh-CN"/>
              </w:rPr>
              <w:t>面积不减少，性质不改变，功能不降低</w:t>
            </w:r>
          </w:p>
        </w:tc>
        <w:tc>
          <w:tcPr>
            <w:tcW w:w="1749" w:type="dxa"/>
            <w:gridSpan w:val="2"/>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红谷滩区历史和现状均无自然保护地</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rPr>
            </w:pPr>
            <w:r>
              <w:rPr>
                <w:rFonts w:hint="default"/>
                <w:color w:val="auto"/>
                <w:lang w:val="en-US" w:eastAsia="zh-CN"/>
              </w:rPr>
              <w:t>面积不减少，性质不改变，功能不降低</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面积不减少，性质不改变，功能不降低</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生态经济</w:t>
            </w:r>
          </w:p>
        </w:tc>
        <w:tc>
          <w:tcPr>
            <w:tcW w:w="782" w:type="dxa"/>
            <w:vMerge w:val="restart"/>
            <w:tcBorders>
              <w:tl2br w:val="nil"/>
              <w:tr2bl w:val="nil"/>
            </w:tcBorders>
            <w:noWrap w:val="0"/>
            <w:vAlign w:val="center"/>
          </w:tcPr>
          <w:p>
            <w:pPr>
              <w:pStyle w:val="27"/>
              <w:bidi w:val="0"/>
              <w:rPr>
                <w:rFonts w:hint="default"/>
                <w:color w:val="auto"/>
                <w:lang w:val="en-US"/>
              </w:rPr>
            </w:pPr>
            <w:r>
              <w:rPr>
                <w:rFonts w:hint="default"/>
                <w:color w:val="auto"/>
                <w:lang w:val="en-US" w:eastAsia="zh-CN"/>
              </w:rPr>
              <w:t>（六）</w:t>
            </w:r>
            <w:r>
              <w:rPr>
                <w:rFonts w:hint="eastAsia"/>
                <w:color w:val="auto"/>
                <w:lang w:val="en-US" w:eastAsia="zh-CN"/>
              </w:rPr>
              <w:t>节约利用生态资源</w:t>
            </w:r>
          </w:p>
        </w:tc>
        <w:tc>
          <w:tcPr>
            <w:tcW w:w="427"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18</w:t>
            </w:r>
          </w:p>
        </w:tc>
        <w:tc>
          <w:tcPr>
            <w:tcW w:w="3008" w:type="dxa"/>
            <w:gridSpan w:val="4"/>
            <w:tcBorders>
              <w:tl2br w:val="nil"/>
              <w:tr2bl w:val="nil"/>
            </w:tcBorders>
            <w:noWrap w:val="0"/>
            <w:vAlign w:val="center"/>
          </w:tcPr>
          <w:p>
            <w:pPr>
              <w:pStyle w:val="27"/>
              <w:bidi w:val="0"/>
              <w:rPr>
                <w:rFonts w:hint="default"/>
                <w:color w:val="auto"/>
              </w:rPr>
            </w:pPr>
            <w:r>
              <w:rPr>
                <w:rFonts w:hint="default"/>
                <w:color w:val="auto"/>
                <w:lang w:val="en-US" w:eastAsia="zh-CN"/>
              </w:rPr>
              <w:t>单位地区生产总值能耗</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吨标准煤/万元</w:t>
            </w:r>
          </w:p>
        </w:tc>
        <w:tc>
          <w:tcPr>
            <w:tcW w:w="1546"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完成上级规定的目标任务</w:t>
            </w:r>
          </w:p>
        </w:tc>
        <w:tc>
          <w:tcPr>
            <w:tcW w:w="1749" w:type="dxa"/>
            <w:gridSpan w:val="2"/>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完成上级规定的目标任务</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完成上级规定的目标任务；</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完成上级规定的目标任务；</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19</w:t>
            </w:r>
          </w:p>
        </w:tc>
        <w:tc>
          <w:tcPr>
            <w:tcW w:w="3008" w:type="dxa"/>
            <w:gridSpan w:val="4"/>
            <w:tcBorders>
              <w:tl2br w:val="nil"/>
              <w:tr2bl w:val="nil"/>
            </w:tcBorders>
            <w:noWrap w:val="0"/>
            <w:vAlign w:val="center"/>
          </w:tcPr>
          <w:p>
            <w:pPr>
              <w:pStyle w:val="27"/>
              <w:bidi w:val="0"/>
              <w:rPr>
                <w:rFonts w:hint="default"/>
                <w:color w:val="auto"/>
              </w:rPr>
            </w:pPr>
            <w:r>
              <w:rPr>
                <w:rFonts w:hint="default"/>
                <w:color w:val="auto"/>
                <w:lang w:val="en-US" w:eastAsia="zh-CN"/>
              </w:rPr>
              <w:t>单位地区生产总值用水量</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立方米/万元</w:t>
            </w:r>
          </w:p>
        </w:tc>
        <w:tc>
          <w:tcPr>
            <w:tcW w:w="1546" w:type="dxa"/>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完成上级规定的目标任务</w:t>
            </w:r>
          </w:p>
        </w:tc>
        <w:tc>
          <w:tcPr>
            <w:tcW w:w="1749" w:type="dxa"/>
            <w:gridSpan w:val="2"/>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完成上级规定的目标任务</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完成上级规定的目标任务</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完成上级规定的目标任务</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vMerge w:val="restart"/>
            <w:tcBorders>
              <w:tl2br w:val="nil"/>
              <w:tr2bl w:val="nil"/>
            </w:tcBorders>
            <w:noWrap w:val="0"/>
            <w:vAlign w:val="center"/>
          </w:tcPr>
          <w:p>
            <w:pPr>
              <w:pStyle w:val="27"/>
              <w:bidi w:val="0"/>
              <w:rPr>
                <w:rFonts w:hint="eastAsia" w:ascii="Times New Roman" w:hAnsi="Times New Roman" w:eastAsia="仿宋" w:cs="Times New Roman"/>
                <w:color w:val="auto"/>
                <w:kern w:val="0"/>
                <w:sz w:val="24"/>
                <w:szCs w:val="24"/>
                <w:lang w:val="en-US" w:eastAsia="zh-CN" w:bidi="ar"/>
              </w:rPr>
            </w:pPr>
            <w:r>
              <w:rPr>
                <w:rFonts w:hint="default"/>
                <w:color w:val="auto"/>
                <w:lang w:val="en-US" w:eastAsia="zh-CN"/>
              </w:rPr>
              <w:t>2</w:t>
            </w:r>
            <w:r>
              <w:rPr>
                <w:rFonts w:hint="eastAsia"/>
                <w:color w:val="auto"/>
                <w:lang w:val="en-US" w:eastAsia="zh-CN"/>
              </w:rPr>
              <w:t>0</w:t>
            </w:r>
          </w:p>
        </w:tc>
        <w:tc>
          <w:tcPr>
            <w:tcW w:w="808" w:type="dxa"/>
            <w:gridSpan w:val="2"/>
            <w:vMerge w:val="restart"/>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农业废弃物综合利用率</w:t>
            </w:r>
          </w:p>
        </w:tc>
        <w:tc>
          <w:tcPr>
            <w:tcW w:w="2200" w:type="dxa"/>
            <w:gridSpan w:val="2"/>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秸秆综合利用率</w:t>
            </w:r>
          </w:p>
        </w:tc>
        <w:tc>
          <w:tcPr>
            <w:tcW w:w="877"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≥90</w:t>
            </w:r>
          </w:p>
        </w:tc>
        <w:tc>
          <w:tcPr>
            <w:tcW w:w="1749" w:type="dxa"/>
            <w:gridSpan w:val="2"/>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eastAsia"/>
                <w:color w:val="auto"/>
                <w:lang w:val="en-US" w:eastAsia="zh-CN"/>
              </w:rPr>
              <w:t>92.87</w:t>
            </w:r>
          </w:p>
        </w:tc>
        <w:tc>
          <w:tcPr>
            <w:tcW w:w="795" w:type="dxa"/>
            <w:vMerge w:val="restart"/>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eastAsia"/>
                <w:color w:val="auto"/>
                <w:lang w:val="en-US" w:eastAsia="zh-CN"/>
              </w:rPr>
              <w:t>95</w:t>
            </w:r>
          </w:p>
        </w:tc>
        <w:tc>
          <w:tcPr>
            <w:tcW w:w="1802"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eastAsia"/>
                <w:color w:val="auto"/>
                <w:lang w:val="en-US" w:eastAsia="zh-CN"/>
              </w:rPr>
              <w:t>95</w:t>
            </w:r>
          </w:p>
        </w:tc>
        <w:tc>
          <w:tcPr>
            <w:tcW w:w="831" w:type="dxa"/>
            <w:vMerge w:val="restart"/>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vMerge w:val="continue"/>
            <w:tcBorders>
              <w:tl2br w:val="nil"/>
              <w:tr2bl w:val="nil"/>
            </w:tcBorders>
            <w:noWrap w:val="0"/>
            <w:vAlign w:val="center"/>
          </w:tcPr>
          <w:p>
            <w:pPr>
              <w:pStyle w:val="27"/>
              <w:bidi w:val="0"/>
              <w:rPr>
                <w:rFonts w:hint="default"/>
                <w:color w:val="auto"/>
                <w:lang w:val="en-US" w:eastAsia="zh-CN"/>
              </w:rPr>
            </w:pPr>
          </w:p>
        </w:tc>
        <w:tc>
          <w:tcPr>
            <w:tcW w:w="808" w:type="dxa"/>
            <w:gridSpan w:val="2"/>
            <w:vMerge w:val="continue"/>
            <w:tcBorders>
              <w:tl2br w:val="nil"/>
              <w:tr2bl w:val="nil"/>
            </w:tcBorders>
            <w:noWrap w:val="0"/>
            <w:vAlign w:val="center"/>
          </w:tcPr>
          <w:p>
            <w:pPr>
              <w:pStyle w:val="27"/>
              <w:bidi w:val="0"/>
              <w:rPr>
                <w:rFonts w:hint="default"/>
                <w:color w:val="auto"/>
                <w:lang w:val="en-US" w:eastAsia="zh-CN"/>
              </w:rPr>
            </w:pPr>
          </w:p>
        </w:tc>
        <w:tc>
          <w:tcPr>
            <w:tcW w:w="2200" w:type="dxa"/>
            <w:gridSpan w:val="2"/>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畜禽粪污综合利用率</w:t>
            </w:r>
          </w:p>
        </w:tc>
        <w:tc>
          <w:tcPr>
            <w:tcW w:w="877"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w:t>
            </w:r>
            <w:r>
              <w:rPr>
                <w:rFonts w:hint="eastAsia"/>
                <w:color w:val="auto"/>
                <w:lang w:val="en-US" w:eastAsia="zh-CN"/>
              </w:rPr>
              <w:t>85</w:t>
            </w:r>
          </w:p>
        </w:tc>
        <w:tc>
          <w:tcPr>
            <w:tcW w:w="1749" w:type="dxa"/>
            <w:gridSpan w:val="2"/>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94.05</w:t>
            </w:r>
          </w:p>
        </w:tc>
        <w:tc>
          <w:tcPr>
            <w:tcW w:w="795" w:type="dxa"/>
            <w:vMerge w:val="continue"/>
            <w:tcBorders>
              <w:tl2br w:val="nil"/>
              <w:tr2bl w:val="nil"/>
            </w:tcBorders>
            <w:noWrap w:val="0"/>
            <w:vAlign w:val="center"/>
          </w:tcPr>
          <w:p>
            <w:pPr>
              <w:pStyle w:val="27"/>
              <w:bidi w:val="0"/>
              <w:rPr>
                <w:rFonts w:hint="default"/>
                <w:color w:val="auto"/>
                <w:lang w:val="en-US" w:eastAsia="zh-CN"/>
              </w:rPr>
            </w:pPr>
          </w:p>
        </w:tc>
        <w:tc>
          <w:tcPr>
            <w:tcW w:w="1721"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95</w:t>
            </w:r>
          </w:p>
        </w:tc>
        <w:tc>
          <w:tcPr>
            <w:tcW w:w="1802"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95</w:t>
            </w:r>
          </w:p>
        </w:tc>
        <w:tc>
          <w:tcPr>
            <w:tcW w:w="831" w:type="dxa"/>
            <w:vMerge w:val="continue"/>
            <w:tcBorders>
              <w:tl2br w:val="nil"/>
              <w:tr2bl w:val="nil"/>
            </w:tcBorders>
            <w:noWrap w:val="0"/>
            <w:vAlign w:val="center"/>
          </w:tcPr>
          <w:p>
            <w:pPr>
              <w:pStyle w:val="27"/>
              <w:bidi w:val="0"/>
              <w:rPr>
                <w:rFonts w:hint="default"/>
                <w:color w:val="auto"/>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default"/>
                <w:color w:val="auto"/>
              </w:rPr>
            </w:pPr>
            <w:r>
              <w:rPr>
                <w:rFonts w:hint="default"/>
                <w:color w:val="auto"/>
                <w:lang w:val="en-US" w:eastAsia="zh-CN"/>
              </w:rPr>
              <w:t>2</w:t>
            </w:r>
            <w:r>
              <w:rPr>
                <w:rFonts w:hint="eastAsia"/>
                <w:color w:val="auto"/>
                <w:lang w:val="en-US" w:eastAsia="zh-CN"/>
              </w:rPr>
              <w:t>1</w:t>
            </w:r>
          </w:p>
        </w:tc>
        <w:tc>
          <w:tcPr>
            <w:tcW w:w="3008" w:type="dxa"/>
            <w:gridSpan w:val="4"/>
            <w:tcBorders>
              <w:tl2br w:val="nil"/>
              <w:tr2bl w:val="nil"/>
            </w:tcBorders>
            <w:noWrap w:val="0"/>
            <w:vAlign w:val="center"/>
          </w:tcPr>
          <w:p>
            <w:pPr>
              <w:pStyle w:val="27"/>
              <w:bidi w:val="0"/>
              <w:rPr>
                <w:rFonts w:hint="default"/>
                <w:color w:val="auto"/>
              </w:rPr>
            </w:pPr>
            <w:r>
              <w:rPr>
                <w:rFonts w:hint="default"/>
                <w:color w:val="auto"/>
                <w:lang w:val="en-US" w:eastAsia="zh-CN"/>
              </w:rPr>
              <w:t>绿色有机农产品基地面积比例</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＞25</w:t>
            </w:r>
          </w:p>
        </w:tc>
        <w:tc>
          <w:tcPr>
            <w:tcW w:w="1749" w:type="dxa"/>
            <w:gridSpan w:val="2"/>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无数据，今年开展申报</w:t>
            </w:r>
          </w:p>
        </w:tc>
        <w:tc>
          <w:tcPr>
            <w:tcW w:w="795"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不</w:t>
            </w: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3</w:t>
            </w:r>
          </w:p>
        </w:tc>
        <w:tc>
          <w:tcPr>
            <w:tcW w:w="1802"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10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生态生活</w:t>
            </w:r>
          </w:p>
        </w:tc>
        <w:tc>
          <w:tcPr>
            <w:tcW w:w="782"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w:t>
            </w:r>
            <w:r>
              <w:rPr>
                <w:rFonts w:hint="eastAsia"/>
                <w:color w:val="auto"/>
                <w:lang w:val="en-US" w:eastAsia="zh-CN"/>
              </w:rPr>
              <w:t>七</w:t>
            </w:r>
            <w:r>
              <w:rPr>
                <w:rFonts w:hint="default"/>
                <w:color w:val="auto"/>
                <w:lang w:val="en-US" w:eastAsia="zh-CN"/>
              </w:rPr>
              <w:t>）改善</w:t>
            </w:r>
            <w:r>
              <w:rPr>
                <w:rFonts w:hint="eastAsia"/>
                <w:color w:val="auto"/>
                <w:lang w:val="en-US" w:eastAsia="zh-CN"/>
              </w:rPr>
              <w:t>城乡</w:t>
            </w:r>
            <w:r>
              <w:rPr>
                <w:rFonts w:hint="default"/>
                <w:color w:val="auto"/>
                <w:lang w:val="en-US" w:eastAsia="zh-CN"/>
              </w:rPr>
              <w:t>人居环境</w:t>
            </w:r>
          </w:p>
        </w:tc>
        <w:tc>
          <w:tcPr>
            <w:tcW w:w="427"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22</w:t>
            </w:r>
          </w:p>
        </w:tc>
        <w:tc>
          <w:tcPr>
            <w:tcW w:w="3008" w:type="dxa"/>
            <w:gridSpan w:val="4"/>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县级及以上集中式饮用水</w:t>
            </w:r>
          </w:p>
          <w:p>
            <w:pPr>
              <w:pStyle w:val="27"/>
              <w:bidi w:val="0"/>
              <w:rPr>
                <w:rFonts w:hint="default"/>
                <w:color w:val="auto"/>
                <w:lang w:val="en-US" w:eastAsia="zh-CN"/>
              </w:rPr>
            </w:pPr>
            <w:r>
              <w:rPr>
                <w:rFonts w:hint="default"/>
                <w:color w:val="auto"/>
                <w:lang w:val="en-US" w:eastAsia="zh-CN"/>
              </w:rPr>
              <w:t>水源地水质优良比例</w:t>
            </w:r>
          </w:p>
        </w:tc>
        <w:tc>
          <w:tcPr>
            <w:tcW w:w="877"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100</w:t>
            </w:r>
          </w:p>
        </w:tc>
        <w:tc>
          <w:tcPr>
            <w:tcW w:w="1749" w:type="dxa"/>
            <w:gridSpan w:val="2"/>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100</w:t>
            </w:r>
          </w:p>
        </w:tc>
        <w:tc>
          <w:tcPr>
            <w:tcW w:w="795"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100</w:t>
            </w:r>
          </w:p>
        </w:tc>
        <w:tc>
          <w:tcPr>
            <w:tcW w:w="1802"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100</w:t>
            </w:r>
          </w:p>
        </w:tc>
        <w:tc>
          <w:tcPr>
            <w:tcW w:w="831"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default" w:eastAsia="仿宋"/>
                <w:color w:val="auto"/>
                <w:lang w:val="en-US" w:eastAsia="zh-CN"/>
              </w:rPr>
            </w:pPr>
            <w:r>
              <w:rPr>
                <w:rFonts w:hint="eastAsia"/>
                <w:color w:val="auto"/>
                <w:lang w:val="en-US" w:eastAsia="zh-CN"/>
              </w:rPr>
              <w:t>23</w:t>
            </w:r>
          </w:p>
        </w:tc>
        <w:tc>
          <w:tcPr>
            <w:tcW w:w="3008" w:type="dxa"/>
            <w:gridSpan w:val="4"/>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城镇污水处理率</w:t>
            </w:r>
          </w:p>
        </w:tc>
        <w:tc>
          <w:tcPr>
            <w:tcW w:w="877"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≥85</w:t>
            </w:r>
          </w:p>
        </w:tc>
        <w:tc>
          <w:tcPr>
            <w:tcW w:w="1749" w:type="dxa"/>
            <w:gridSpan w:val="2"/>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eastAsia"/>
                <w:color w:val="auto"/>
                <w:lang w:val="en-US" w:eastAsia="zh-CN"/>
              </w:rPr>
              <w:t>95.3</w:t>
            </w:r>
          </w:p>
        </w:tc>
        <w:tc>
          <w:tcPr>
            <w:tcW w:w="795"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eastAsia"/>
                <w:color w:val="auto"/>
                <w:lang w:val="en-US" w:eastAsia="zh-CN"/>
              </w:rPr>
              <w:t>96</w:t>
            </w:r>
          </w:p>
        </w:tc>
        <w:tc>
          <w:tcPr>
            <w:tcW w:w="1802"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eastAsia"/>
                <w:color w:val="auto"/>
                <w:lang w:val="en-US" w:eastAsia="zh-CN"/>
              </w:rPr>
              <w:t>96</w:t>
            </w:r>
          </w:p>
        </w:tc>
        <w:tc>
          <w:tcPr>
            <w:tcW w:w="83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default" w:eastAsia="仿宋"/>
                <w:color w:val="auto"/>
                <w:lang w:val="en-US" w:eastAsia="zh-CN"/>
              </w:rPr>
            </w:pPr>
            <w:r>
              <w:rPr>
                <w:rFonts w:hint="eastAsia"/>
                <w:color w:val="auto"/>
                <w:lang w:val="en-US" w:eastAsia="zh-CN"/>
              </w:rPr>
              <w:t>24</w:t>
            </w:r>
          </w:p>
        </w:tc>
        <w:tc>
          <w:tcPr>
            <w:tcW w:w="3008" w:type="dxa"/>
            <w:gridSpan w:val="4"/>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城镇生活垃圾无害化处理率</w:t>
            </w:r>
          </w:p>
        </w:tc>
        <w:tc>
          <w:tcPr>
            <w:tcW w:w="877"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≥80</w:t>
            </w:r>
          </w:p>
        </w:tc>
        <w:tc>
          <w:tcPr>
            <w:tcW w:w="1749" w:type="dxa"/>
            <w:gridSpan w:val="2"/>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100</w:t>
            </w:r>
          </w:p>
        </w:tc>
        <w:tc>
          <w:tcPr>
            <w:tcW w:w="795"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100</w:t>
            </w:r>
          </w:p>
        </w:tc>
        <w:tc>
          <w:tcPr>
            <w:tcW w:w="1802"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100</w:t>
            </w:r>
          </w:p>
        </w:tc>
        <w:tc>
          <w:tcPr>
            <w:tcW w:w="83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25</w:t>
            </w:r>
          </w:p>
        </w:tc>
        <w:tc>
          <w:tcPr>
            <w:tcW w:w="3008" w:type="dxa"/>
            <w:gridSpan w:val="4"/>
            <w:tcBorders>
              <w:tl2br w:val="nil"/>
              <w:tr2bl w:val="nil"/>
            </w:tcBorders>
            <w:noWrap w:val="0"/>
            <w:vAlign w:val="center"/>
          </w:tcPr>
          <w:p>
            <w:pPr>
              <w:pStyle w:val="27"/>
              <w:bidi w:val="0"/>
              <w:rPr>
                <w:rFonts w:hint="default"/>
                <w:color w:val="auto"/>
              </w:rPr>
            </w:pPr>
            <w:r>
              <w:rPr>
                <w:rFonts w:hint="default"/>
                <w:color w:val="auto"/>
                <w:lang w:val="en-US" w:eastAsia="zh-CN"/>
              </w:rPr>
              <w:t>农村无害化卫生厕所普及率</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color w:val="auto"/>
              </w:rPr>
            </w:pPr>
            <w:r>
              <w:rPr>
                <w:rFonts w:hint="default"/>
                <w:color w:val="auto"/>
                <w:lang w:val="en-US" w:eastAsia="zh-CN"/>
              </w:rPr>
              <w:t>≥90</w:t>
            </w:r>
          </w:p>
        </w:tc>
        <w:tc>
          <w:tcPr>
            <w:tcW w:w="1749" w:type="dxa"/>
            <w:gridSpan w:val="2"/>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86.3</w:t>
            </w:r>
          </w:p>
        </w:tc>
        <w:tc>
          <w:tcPr>
            <w:tcW w:w="795"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不</w:t>
            </w: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92</w:t>
            </w:r>
          </w:p>
        </w:tc>
        <w:tc>
          <w:tcPr>
            <w:tcW w:w="1802"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96</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26</w:t>
            </w:r>
          </w:p>
        </w:tc>
        <w:tc>
          <w:tcPr>
            <w:tcW w:w="3008" w:type="dxa"/>
            <w:gridSpan w:val="4"/>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中央和地方生态环保资金绩效目标完成情况</w:t>
            </w:r>
          </w:p>
        </w:tc>
        <w:tc>
          <w:tcPr>
            <w:tcW w:w="877"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完成</w:t>
            </w:r>
          </w:p>
        </w:tc>
        <w:tc>
          <w:tcPr>
            <w:tcW w:w="1749" w:type="dxa"/>
            <w:gridSpan w:val="2"/>
            <w:tcBorders>
              <w:tl2br w:val="nil"/>
              <w:tr2bl w:val="nil"/>
            </w:tcBorders>
            <w:noWrap w:val="0"/>
            <w:vAlign w:val="center"/>
          </w:tcPr>
          <w:p>
            <w:pPr>
              <w:pStyle w:val="27"/>
              <w:bidi w:val="0"/>
              <w:rPr>
                <w:rFonts w:hint="eastAsia" w:ascii="Times New Roman" w:hAnsi="Times New Roman" w:eastAsia="仿宋" w:cs="Times New Roman"/>
                <w:color w:val="auto"/>
                <w:kern w:val="0"/>
                <w:sz w:val="24"/>
                <w:szCs w:val="24"/>
                <w:lang w:val="en-US" w:eastAsia="zh-CN" w:bidi="ar"/>
              </w:rPr>
            </w:pPr>
            <w:r>
              <w:rPr>
                <w:rFonts w:hint="default"/>
                <w:color w:val="auto"/>
                <w:lang w:val="en-US" w:eastAsia="zh-CN"/>
              </w:rPr>
              <w:t>完成</w:t>
            </w:r>
          </w:p>
        </w:tc>
        <w:tc>
          <w:tcPr>
            <w:tcW w:w="795" w:type="dxa"/>
            <w:tcBorders>
              <w:tl2br w:val="nil"/>
              <w:tr2bl w:val="nil"/>
            </w:tcBorders>
            <w:noWrap w:val="0"/>
            <w:vAlign w:val="center"/>
          </w:tcPr>
          <w:p>
            <w:pPr>
              <w:pStyle w:val="27"/>
              <w:bidi w:val="0"/>
              <w:rPr>
                <w:rFonts w:hint="eastAsia" w:ascii="Times New Roman" w:hAnsi="Times New Roman" w:eastAsia="仿宋" w:cs="Times New Roman"/>
                <w:color w:val="auto"/>
                <w:kern w:val="0"/>
                <w:sz w:val="24"/>
                <w:szCs w:val="24"/>
                <w:lang w:val="en-US" w:eastAsia="zh-CN" w:bidi="ar"/>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完成</w:t>
            </w:r>
          </w:p>
        </w:tc>
        <w:tc>
          <w:tcPr>
            <w:tcW w:w="1802"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完成</w:t>
            </w:r>
          </w:p>
        </w:tc>
        <w:tc>
          <w:tcPr>
            <w:tcW w:w="83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生态文化</w:t>
            </w:r>
          </w:p>
        </w:tc>
        <w:tc>
          <w:tcPr>
            <w:tcW w:w="782" w:type="dxa"/>
            <w:vMerge w:val="restart"/>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w:t>
            </w:r>
            <w:r>
              <w:rPr>
                <w:rFonts w:hint="eastAsia"/>
                <w:color w:val="auto"/>
                <w:lang w:val="en-US" w:eastAsia="zh-CN"/>
              </w:rPr>
              <w:t>八</w:t>
            </w:r>
            <w:r>
              <w:rPr>
                <w:rFonts w:hint="default"/>
                <w:color w:val="auto"/>
                <w:lang w:val="en-US" w:eastAsia="zh-CN"/>
              </w:rPr>
              <w:t>）</w:t>
            </w:r>
            <w:r>
              <w:rPr>
                <w:rFonts w:hint="eastAsia"/>
                <w:color w:val="auto"/>
                <w:lang w:val="en-US" w:eastAsia="zh-CN"/>
              </w:rPr>
              <w:t>弘扬绿色生态文化</w:t>
            </w:r>
          </w:p>
        </w:tc>
        <w:tc>
          <w:tcPr>
            <w:tcW w:w="427"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27</w:t>
            </w:r>
          </w:p>
        </w:tc>
        <w:tc>
          <w:tcPr>
            <w:tcW w:w="3008" w:type="dxa"/>
            <w:gridSpan w:val="4"/>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城镇人均公园绿地面积</w:t>
            </w:r>
          </w:p>
        </w:tc>
        <w:tc>
          <w:tcPr>
            <w:tcW w:w="877"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平方米/人</w:t>
            </w:r>
          </w:p>
        </w:tc>
        <w:tc>
          <w:tcPr>
            <w:tcW w:w="1546"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≥12</w:t>
            </w:r>
          </w:p>
        </w:tc>
        <w:tc>
          <w:tcPr>
            <w:tcW w:w="1749" w:type="dxa"/>
            <w:gridSpan w:val="2"/>
            <w:tcBorders>
              <w:tl2br w:val="nil"/>
              <w:tr2bl w:val="nil"/>
            </w:tcBorders>
            <w:noWrap w:val="0"/>
            <w:vAlign w:val="center"/>
          </w:tcPr>
          <w:p>
            <w:pPr>
              <w:pStyle w:val="27"/>
              <w:bidi w:val="0"/>
              <w:rPr>
                <w:rFonts w:hint="eastAsia" w:ascii="Times New Roman" w:hAnsi="Times New Roman" w:eastAsia="仿宋" w:cs="Times New Roman"/>
                <w:color w:val="auto"/>
                <w:kern w:val="0"/>
                <w:sz w:val="24"/>
                <w:szCs w:val="24"/>
                <w:lang w:val="en-US" w:eastAsia="zh-CN" w:bidi="ar"/>
              </w:rPr>
            </w:pPr>
            <w:r>
              <w:rPr>
                <w:rFonts w:hint="eastAsia"/>
                <w:color w:val="auto"/>
                <w:lang w:val="en-US" w:eastAsia="zh-CN"/>
              </w:rPr>
              <w:t>16</w:t>
            </w:r>
          </w:p>
        </w:tc>
        <w:tc>
          <w:tcPr>
            <w:tcW w:w="795" w:type="dxa"/>
            <w:tcBorders>
              <w:tl2br w:val="nil"/>
              <w:tr2bl w:val="nil"/>
            </w:tcBorders>
            <w:noWrap w:val="0"/>
            <w:vAlign w:val="center"/>
          </w:tcPr>
          <w:p>
            <w:pPr>
              <w:pStyle w:val="27"/>
              <w:bidi w:val="0"/>
              <w:rPr>
                <w:rFonts w:hint="eastAsia" w:ascii="Times New Roman" w:hAnsi="Times New Roman" w:eastAsia="仿宋" w:cs="Times New Roman"/>
                <w:color w:val="auto"/>
                <w:kern w:val="0"/>
                <w:sz w:val="24"/>
                <w:szCs w:val="24"/>
                <w:lang w:val="en-US" w:eastAsia="zh-CN" w:bidi="ar"/>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eastAsia"/>
                <w:color w:val="auto"/>
                <w:lang w:val="en-US" w:eastAsia="zh-CN"/>
              </w:rPr>
              <w:t>17</w:t>
            </w:r>
          </w:p>
        </w:tc>
        <w:tc>
          <w:tcPr>
            <w:tcW w:w="1802"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eastAsia"/>
                <w:color w:val="auto"/>
                <w:lang w:val="en-US" w:eastAsia="zh-CN"/>
              </w:rPr>
              <w:t>18</w:t>
            </w:r>
          </w:p>
        </w:tc>
        <w:tc>
          <w:tcPr>
            <w:tcW w:w="83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lang w:val="en-US" w:eastAsia="zh-CN"/>
              </w:rPr>
            </w:pPr>
          </w:p>
        </w:tc>
        <w:tc>
          <w:tcPr>
            <w:tcW w:w="782" w:type="dxa"/>
            <w:vMerge w:val="continue"/>
            <w:tcBorders>
              <w:tl2br w:val="nil"/>
              <w:tr2bl w:val="nil"/>
            </w:tcBorders>
            <w:noWrap w:val="0"/>
            <w:vAlign w:val="center"/>
          </w:tcPr>
          <w:p>
            <w:pPr>
              <w:pStyle w:val="27"/>
              <w:bidi w:val="0"/>
              <w:rPr>
                <w:rFonts w:hint="default"/>
                <w:color w:val="auto"/>
                <w:lang w:val="en-US" w:eastAsia="zh-CN"/>
              </w:rPr>
            </w:pPr>
          </w:p>
        </w:tc>
        <w:tc>
          <w:tcPr>
            <w:tcW w:w="427"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28</w:t>
            </w:r>
          </w:p>
        </w:tc>
        <w:tc>
          <w:tcPr>
            <w:tcW w:w="3008" w:type="dxa"/>
            <w:gridSpan w:val="4"/>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政府绿色采购比例</w:t>
            </w:r>
          </w:p>
        </w:tc>
        <w:tc>
          <w:tcPr>
            <w:tcW w:w="877"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≥80</w:t>
            </w:r>
          </w:p>
        </w:tc>
        <w:tc>
          <w:tcPr>
            <w:tcW w:w="1749" w:type="dxa"/>
            <w:gridSpan w:val="2"/>
            <w:tcBorders>
              <w:tl2br w:val="nil"/>
              <w:tr2bl w:val="nil"/>
            </w:tcBorders>
            <w:noWrap w:val="0"/>
            <w:vAlign w:val="center"/>
          </w:tcPr>
          <w:p>
            <w:pPr>
              <w:pStyle w:val="27"/>
              <w:bidi w:val="0"/>
              <w:rPr>
                <w:rFonts w:hint="eastAsia" w:ascii="Times New Roman" w:hAnsi="Times New Roman" w:eastAsia="仿宋" w:cs="Times New Roman"/>
                <w:color w:val="auto"/>
                <w:kern w:val="0"/>
                <w:sz w:val="24"/>
                <w:szCs w:val="24"/>
                <w:lang w:val="en-US" w:eastAsia="zh-CN" w:bidi="ar"/>
              </w:rPr>
            </w:pPr>
            <w:r>
              <w:rPr>
                <w:rFonts w:hint="default"/>
                <w:color w:val="auto"/>
                <w:lang w:val="en-US" w:eastAsia="zh-CN"/>
              </w:rPr>
              <w:t>100</w:t>
            </w:r>
          </w:p>
        </w:tc>
        <w:tc>
          <w:tcPr>
            <w:tcW w:w="795"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100</w:t>
            </w:r>
          </w:p>
        </w:tc>
        <w:tc>
          <w:tcPr>
            <w:tcW w:w="1802"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100</w:t>
            </w:r>
          </w:p>
        </w:tc>
        <w:tc>
          <w:tcPr>
            <w:tcW w:w="83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427"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29</w:t>
            </w:r>
          </w:p>
        </w:tc>
        <w:tc>
          <w:tcPr>
            <w:tcW w:w="3008" w:type="dxa"/>
            <w:gridSpan w:val="4"/>
            <w:tcBorders>
              <w:tl2br w:val="nil"/>
              <w:tr2bl w:val="nil"/>
            </w:tcBorders>
            <w:noWrap w:val="0"/>
            <w:vAlign w:val="center"/>
          </w:tcPr>
          <w:p>
            <w:pPr>
              <w:pStyle w:val="27"/>
              <w:bidi w:val="0"/>
              <w:rPr>
                <w:rFonts w:hint="default"/>
                <w:color w:val="auto"/>
              </w:rPr>
            </w:pPr>
            <w:r>
              <w:rPr>
                <w:rFonts w:hint="default"/>
                <w:color w:val="auto"/>
                <w:lang w:val="en-US" w:eastAsia="zh-CN"/>
              </w:rPr>
              <w:t>公众对生态文明建设的参与度和满意度</w:t>
            </w:r>
          </w:p>
        </w:tc>
        <w:tc>
          <w:tcPr>
            <w:tcW w:w="877"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546" w:type="dxa"/>
            <w:tcBorders>
              <w:tl2br w:val="nil"/>
              <w:tr2bl w:val="nil"/>
            </w:tcBorders>
            <w:noWrap w:val="0"/>
            <w:vAlign w:val="center"/>
          </w:tcPr>
          <w:p>
            <w:pPr>
              <w:pStyle w:val="27"/>
              <w:bidi w:val="0"/>
              <w:rPr>
                <w:rFonts w:hint="default"/>
                <w:color w:val="auto"/>
              </w:rPr>
            </w:pPr>
            <w:r>
              <w:rPr>
                <w:rFonts w:hint="default"/>
                <w:color w:val="auto"/>
                <w:lang w:val="en-US" w:eastAsia="zh-CN"/>
              </w:rPr>
              <w:t>≥80</w:t>
            </w:r>
          </w:p>
        </w:tc>
        <w:tc>
          <w:tcPr>
            <w:tcW w:w="1749" w:type="dxa"/>
            <w:gridSpan w:val="2"/>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80</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1"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≥8</w:t>
            </w:r>
            <w:r>
              <w:rPr>
                <w:rFonts w:hint="eastAsia"/>
                <w:color w:val="auto"/>
                <w:lang w:val="en-US" w:eastAsia="zh-CN"/>
              </w:rPr>
              <w:t>5</w:t>
            </w:r>
          </w:p>
        </w:tc>
        <w:tc>
          <w:tcPr>
            <w:tcW w:w="1802"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w:t>
            </w:r>
            <w:r>
              <w:rPr>
                <w:rFonts w:hint="eastAsia"/>
                <w:color w:val="auto"/>
                <w:lang w:val="en-US" w:eastAsia="zh-CN"/>
              </w:rPr>
              <w:t>90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bl>
    <w:p>
      <w:pPr>
        <w:pStyle w:val="21"/>
        <w:rPr>
          <w:rFonts w:hint="eastAsia" w:ascii="Times New Roman" w:hAnsi="Times New Roman" w:eastAsia="仿宋" w:cs="Times New Roman"/>
          <w:b/>
          <w:bCs/>
          <w:color w:val="auto"/>
          <w:kern w:val="0"/>
          <w:sz w:val="24"/>
          <w:lang w:bidi="ar"/>
        </w:rPr>
        <w:sectPr>
          <w:pgSz w:w="16838" w:h="11906" w:orient="landscape"/>
          <w:pgMar w:top="1803" w:right="1440" w:bottom="1803" w:left="1440" w:header="851" w:footer="992" w:gutter="0"/>
          <w:pgNumType w:fmt="numberInDash"/>
          <w:cols w:space="720" w:num="1"/>
          <w:rtlGutter w:val="0"/>
          <w:docGrid w:type="lines" w:linePitch="319" w:charSpace="0"/>
        </w:sectPr>
      </w:pPr>
      <w:r>
        <w:rPr>
          <w:rFonts w:hint="eastAsia"/>
          <w:color w:val="auto"/>
          <w:sz w:val="24"/>
          <w:szCs w:val="24"/>
          <w:lang w:val="en-US" w:eastAsia="zh-CN"/>
        </w:rPr>
        <w:t>注：因部分统计数据暂未更新，指标9、20（秸秆综合利用率）采用2021年数据。</w:t>
      </w:r>
    </w:p>
    <w:p>
      <w:pPr>
        <w:pStyle w:val="26"/>
        <w:numPr>
          <w:ilvl w:val="0"/>
          <w:numId w:val="0"/>
        </w:numPr>
        <w:bidi w:val="0"/>
        <w:ind w:left="0" w:leftChars="0" w:firstLine="0" w:firstLineChars="0"/>
        <w:rPr>
          <w:rFonts w:hint="eastAsia"/>
          <w:color w:val="auto"/>
          <w:lang w:val="en-US" w:eastAsia="zh-CN"/>
        </w:rPr>
      </w:pPr>
      <w:r>
        <w:rPr>
          <w:rFonts w:hint="eastAsia"/>
          <w:color w:val="auto"/>
          <w:lang w:val="en-US" w:eastAsia="zh-CN"/>
        </w:rPr>
        <w:t>表3-2 国家级生态文明建设示范区指标体系</w:t>
      </w:r>
    </w:p>
    <w:tbl>
      <w:tblPr>
        <w:tblStyle w:val="15"/>
        <w:tblW w:w="5000" w:type="pct"/>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34" w:type="dxa"/>
          <w:bottom w:w="0" w:type="dxa"/>
          <w:right w:w="34" w:type="dxa"/>
        </w:tblCellMar>
      </w:tblPr>
      <w:tblGrid>
        <w:gridCol w:w="488"/>
        <w:gridCol w:w="782"/>
        <w:gridCol w:w="341"/>
        <w:gridCol w:w="855"/>
        <w:gridCol w:w="30"/>
        <w:gridCol w:w="2209"/>
        <w:gridCol w:w="878"/>
        <w:gridCol w:w="1818"/>
        <w:gridCol w:w="1477"/>
        <w:gridCol w:w="795"/>
        <w:gridCol w:w="1720"/>
        <w:gridCol w:w="1802"/>
        <w:gridCol w:w="83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tblHeader/>
          <w:jc w:val="center"/>
        </w:trPr>
        <w:tc>
          <w:tcPr>
            <w:tcW w:w="488"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领域</w:t>
            </w:r>
          </w:p>
        </w:tc>
        <w:tc>
          <w:tcPr>
            <w:tcW w:w="782"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任务</w:t>
            </w:r>
          </w:p>
        </w:tc>
        <w:tc>
          <w:tcPr>
            <w:tcW w:w="341"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序号</w:t>
            </w:r>
          </w:p>
        </w:tc>
        <w:tc>
          <w:tcPr>
            <w:tcW w:w="3094" w:type="dxa"/>
            <w:gridSpan w:val="3"/>
            <w:tcBorders>
              <w:tl2br w:val="nil"/>
              <w:tr2bl w:val="nil"/>
            </w:tcBorders>
            <w:noWrap w:val="0"/>
            <w:vAlign w:val="center"/>
          </w:tcPr>
          <w:p>
            <w:pPr>
              <w:pStyle w:val="27"/>
              <w:bidi w:val="0"/>
              <w:rPr>
                <w:rFonts w:hint="default"/>
                <w:b/>
                <w:bCs/>
                <w:color w:val="auto"/>
              </w:rPr>
            </w:pPr>
            <w:r>
              <w:rPr>
                <w:rFonts w:hint="default"/>
                <w:b/>
                <w:bCs/>
                <w:color w:val="auto"/>
                <w:lang w:val="en-US" w:eastAsia="zh-CN"/>
              </w:rPr>
              <w:t>指标名称</w:t>
            </w:r>
          </w:p>
        </w:tc>
        <w:tc>
          <w:tcPr>
            <w:tcW w:w="878"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单位</w:t>
            </w:r>
          </w:p>
        </w:tc>
        <w:tc>
          <w:tcPr>
            <w:tcW w:w="1818"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指标值</w:t>
            </w:r>
          </w:p>
        </w:tc>
        <w:tc>
          <w:tcPr>
            <w:tcW w:w="1477"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20</w:t>
            </w:r>
            <w:r>
              <w:rPr>
                <w:rFonts w:hint="eastAsia"/>
                <w:b/>
                <w:bCs/>
                <w:color w:val="auto"/>
                <w:lang w:val="en-US" w:eastAsia="zh-CN"/>
              </w:rPr>
              <w:t>22</w:t>
            </w:r>
            <w:r>
              <w:rPr>
                <w:rFonts w:hint="default"/>
                <w:b/>
                <w:bCs/>
                <w:color w:val="auto"/>
                <w:lang w:val="en-US" w:eastAsia="zh-CN"/>
              </w:rPr>
              <w:t>年现状</w:t>
            </w:r>
          </w:p>
        </w:tc>
        <w:tc>
          <w:tcPr>
            <w:tcW w:w="795"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现状达标情况</w:t>
            </w:r>
          </w:p>
        </w:tc>
        <w:tc>
          <w:tcPr>
            <w:tcW w:w="1720"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20</w:t>
            </w:r>
            <w:r>
              <w:rPr>
                <w:rFonts w:hint="eastAsia"/>
                <w:b/>
                <w:bCs/>
                <w:color w:val="auto"/>
                <w:lang w:val="en-US" w:eastAsia="zh-CN"/>
              </w:rPr>
              <w:t>25</w:t>
            </w:r>
            <w:r>
              <w:rPr>
                <w:rFonts w:hint="default"/>
                <w:b/>
                <w:bCs/>
                <w:color w:val="auto"/>
                <w:lang w:val="en-US" w:eastAsia="zh-CN"/>
              </w:rPr>
              <w:t>年近期目标</w:t>
            </w:r>
          </w:p>
        </w:tc>
        <w:tc>
          <w:tcPr>
            <w:tcW w:w="1802" w:type="dxa"/>
            <w:tcBorders>
              <w:tl2br w:val="nil"/>
              <w:tr2bl w:val="nil"/>
            </w:tcBorders>
            <w:noWrap w:val="0"/>
            <w:vAlign w:val="center"/>
          </w:tcPr>
          <w:p>
            <w:pPr>
              <w:pStyle w:val="27"/>
              <w:bidi w:val="0"/>
              <w:rPr>
                <w:rFonts w:hint="default"/>
                <w:b/>
                <w:bCs/>
                <w:color w:val="auto"/>
              </w:rPr>
            </w:pPr>
            <w:r>
              <w:rPr>
                <w:rFonts w:hint="default"/>
                <w:b/>
                <w:bCs/>
                <w:color w:val="auto"/>
                <w:lang w:val="en-US" w:eastAsia="zh-CN"/>
              </w:rPr>
              <w:t>20</w:t>
            </w:r>
            <w:r>
              <w:rPr>
                <w:rFonts w:hint="eastAsia"/>
                <w:b/>
                <w:bCs/>
                <w:color w:val="auto"/>
                <w:lang w:val="en-US" w:eastAsia="zh-CN"/>
              </w:rPr>
              <w:t>30</w:t>
            </w:r>
            <w:r>
              <w:rPr>
                <w:rFonts w:hint="default"/>
                <w:b/>
                <w:bCs/>
                <w:color w:val="auto"/>
                <w:lang w:val="en-US" w:eastAsia="zh-CN"/>
              </w:rPr>
              <w:t>年</w:t>
            </w:r>
            <w:r>
              <w:rPr>
                <w:rFonts w:hint="eastAsia"/>
                <w:b/>
                <w:bCs/>
                <w:color w:val="auto"/>
                <w:lang w:val="en-US" w:eastAsia="zh-CN"/>
              </w:rPr>
              <w:t>远</w:t>
            </w:r>
            <w:r>
              <w:rPr>
                <w:rFonts w:hint="default"/>
                <w:b/>
                <w:bCs/>
                <w:color w:val="auto"/>
                <w:lang w:val="en-US" w:eastAsia="zh-CN"/>
              </w:rPr>
              <w:t>期目标</w:t>
            </w:r>
          </w:p>
        </w:tc>
        <w:tc>
          <w:tcPr>
            <w:tcW w:w="831" w:type="dxa"/>
            <w:tcBorders>
              <w:tl2br w:val="nil"/>
              <w:tr2bl w:val="nil"/>
            </w:tcBorders>
            <w:noWrap w:val="0"/>
            <w:vAlign w:val="center"/>
          </w:tcPr>
          <w:p>
            <w:pPr>
              <w:pStyle w:val="27"/>
              <w:bidi w:val="0"/>
              <w:rPr>
                <w:rFonts w:hint="default"/>
                <w:b/>
                <w:bCs/>
                <w:color w:val="auto"/>
                <w:lang w:val="en-US" w:eastAsia="zh-CN"/>
              </w:rPr>
            </w:pPr>
            <w:r>
              <w:rPr>
                <w:rFonts w:hint="default"/>
                <w:b/>
                <w:bCs/>
                <w:color w:val="auto"/>
                <w:lang w:val="en-US" w:eastAsia="zh-CN"/>
              </w:rPr>
              <w:t>指标</w:t>
            </w:r>
          </w:p>
          <w:p>
            <w:pPr>
              <w:pStyle w:val="27"/>
              <w:bidi w:val="0"/>
              <w:rPr>
                <w:rFonts w:hint="default"/>
                <w:b/>
                <w:bCs/>
                <w:color w:val="auto"/>
              </w:rPr>
            </w:pPr>
            <w:r>
              <w:rPr>
                <w:rFonts w:hint="default"/>
                <w:b/>
                <w:bCs/>
                <w:color w:val="auto"/>
                <w:lang w:val="en-US" w:eastAsia="zh-CN"/>
              </w:rPr>
              <w:t>属性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生态制度</w:t>
            </w:r>
          </w:p>
        </w:tc>
        <w:tc>
          <w:tcPr>
            <w:tcW w:w="782"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（一）目标责任体系与制度建设</w:t>
            </w:r>
          </w:p>
        </w:tc>
        <w:tc>
          <w:tcPr>
            <w:tcW w:w="341" w:type="dxa"/>
            <w:tcBorders>
              <w:tl2br w:val="nil"/>
              <w:tr2bl w:val="nil"/>
            </w:tcBorders>
            <w:noWrap w:val="0"/>
            <w:vAlign w:val="center"/>
          </w:tcPr>
          <w:p>
            <w:pPr>
              <w:pStyle w:val="27"/>
              <w:bidi w:val="0"/>
              <w:rPr>
                <w:rFonts w:hint="default"/>
                <w:color w:val="auto"/>
              </w:rPr>
            </w:pPr>
            <w:r>
              <w:rPr>
                <w:rFonts w:hint="default"/>
                <w:color w:val="auto"/>
                <w:lang w:val="en-US" w:eastAsia="zh-CN"/>
              </w:rPr>
              <w:t>1</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生态文明建设规划</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制定实施</w:t>
            </w:r>
          </w:p>
        </w:tc>
        <w:tc>
          <w:tcPr>
            <w:tcW w:w="1477" w:type="dxa"/>
            <w:tcBorders>
              <w:tl2br w:val="nil"/>
              <w:tr2bl w:val="nil"/>
            </w:tcBorders>
            <w:noWrap w:val="0"/>
            <w:vAlign w:val="center"/>
          </w:tcPr>
          <w:p>
            <w:pPr>
              <w:pStyle w:val="27"/>
              <w:bidi w:val="0"/>
              <w:rPr>
                <w:rFonts w:hint="default"/>
                <w:color w:val="auto"/>
                <w:lang w:val="en-US"/>
              </w:rPr>
            </w:pPr>
            <w:r>
              <w:rPr>
                <w:rFonts w:hint="default"/>
                <w:color w:val="auto"/>
                <w:lang w:val="en-US" w:eastAsia="zh-CN"/>
              </w:rPr>
              <w:t>编制</w:t>
            </w:r>
            <w:r>
              <w:rPr>
                <w:rFonts w:hint="eastAsia"/>
                <w:color w:val="auto"/>
                <w:lang w:val="en-US" w:eastAsia="zh-CN"/>
              </w:rPr>
              <w:t>中</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不达标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制定实施</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制定实施</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rPr>
            </w:pPr>
            <w:r>
              <w:rPr>
                <w:rFonts w:hint="default"/>
                <w:color w:val="auto"/>
                <w:lang w:val="en-US" w:eastAsia="zh-CN"/>
              </w:rPr>
              <w:t>2</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党委政府对生态文明建设重大目标任务部署情况</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有效开展</w:t>
            </w:r>
          </w:p>
        </w:tc>
        <w:tc>
          <w:tcPr>
            <w:tcW w:w="1477" w:type="dxa"/>
            <w:tcBorders>
              <w:tl2br w:val="nil"/>
              <w:tr2bl w:val="nil"/>
            </w:tcBorders>
            <w:noWrap w:val="0"/>
            <w:vAlign w:val="center"/>
          </w:tcPr>
          <w:p>
            <w:pPr>
              <w:pStyle w:val="27"/>
              <w:bidi w:val="0"/>
              <w:rPr>
                <w:rFonts w:hint="default"/>
                <w:color w:val="auto"/>
              </w:rPr>
            </w:pPr>
            <w:r>
              <w:rPr>
                <w:rFonts w:hint="default"/>
                <w:color w:val="auto"/>
                <w:lang w:val="en-US" w:eastAsia="zh-CN"/>
              </w:rPr>
              <w:t>有效开展</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有效开展</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有效开展</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643"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rPr>
            </w:pPr>
            <w:r>
              <w:rPr>
                <w:rFonts w:hint="default"/>
                <w:color w:val="auto"/>
                <w:lang w:val="en-US" w:eastAsia="zh-CN"/>
              </w:rPr>
              <w:t>3</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生态文明建设工作占党政实绩考核的比例</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≥20</w:t>
            </w:r>
          </w:p>
        </w:tc>
        <w:tc>
          <w:tcPr>
            <w:tcW w:w="1477"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16</w:t>
            </w:r>
          </w:p>
        </w:tc>
        <w:tc>
          <w:tcPr>
            <w:tcW w:w="795" w:type="dxa"/>
            <w:tcBorders>
              <w:tl2br w:val="nil"/>
              <w:tr2bl w:val="nil"/>
            </w:tcBorders>
            <w:noWrap w:val="0"/>
            <w:vAlign w:val="center"/>
          </w:tcPr>
          <w:p>
            <w:pPr>
              <w:pStyle w:val="27"/>
              <w:bidi w:val="0"/>
              <w:rPr>
                <w:rFonts w:hint="default"/>
                <w:color w:val="auto"/>
              </w:rPr>
            </w:pPr>
            <w:r>
              <w:rPr>
                <w:rFonts w:hint="eastAsia"/>
                <w:color w:val="auto"/>
                <w:lang w:val="en-US" w:eastAsia="zh-CN"/>
              </w:rPr>
              <w:t>不</w:t>
            </w: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≥20</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≥20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rPr>
            </w:pPr>
            <w:r>
              <w:rPr>
                <w:rFonts w:hint="default"/>
                <w:color w:val="auto"/>
                <w:lang w:val="en-US" w:eastAsia="zh-CN"/>
              </w:rPr>
              <w:t>4</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河长制</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全面实施</w:t>
            </w:r>
          </w:p>
        </w:tc>
        <w:tc>
          <w:tcPr>
            <w:tcW w:w="1477" w:type="dxa"/>
            <w:tcBorders>
              <w:tl2br w:val="nil"/>
              <w:tr2bl w:val="nil"/>
            </w:tcBorders>
            <w:noWrap w:val="0"/>
            <w:vAlign w:val="center"/>
          </w:tcPr>
          <w:p>
            <w:pPr>
              <w:pStyle w:val="27"/>
              <w:bidi w:val="0"/>
              <w:rPr>
                <w:rFonts w:hint="default"/>
                <w:color w:val="auto"/>
              </w:rPr>
            </w:pPr>
            <w:r>
              <w:rPr>
                <w:rFonts w:hint="default"/>
                <w:color w:val="auto"/>
                <w:lang w:val="en-US" w:eastAsia="zh-CN"/>
              </w:rPr>
              <w:t>全面实施</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全面实施</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全面实施</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rPr>
            </w:pPr>
            <w:r>
              <w:rPr>
                <w:rFonts w:hint="default"/>
                <w:color w:val="auto"/>
                <w:lang w:val="en-US" w:eastAsia="zh-CN"/>
              </w:rPr>
              <w:t>5</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生态环境信息公开率</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1477"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rPr>
            </w:pPr>
            <w:r>
              <w:rPr>
                <w:rFonts w:hint="default"/>
                <w:color w:val="auto"/>
                <w:lang w:val="en-US" w:eastAsia="zh-CN"/>
              </w:rPr>
              <w:t>6</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依法开展规划环境影响评价</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开展</w:t>
            </w:r>
          </w:p>
        </w:tc>
        <w:tc>
          <w:tcPr>
            <w:tcW w:w="1477" w:type="dxa"/>
            <w:tcBorders>
              <w:tl2br w:val="nil"/>
              <w:tr2bl w:val="nil"/>
            </w:tcBorders>
            <w:noWrap w:val="0"/>
            <w:vAlign w:val="center"/>
          </w:tcPr>
          <w:p>
            <w:pPr>
              <w:pStyle w:val="27"/>
              <w:bidi w:val="0"/>
              <w:rPr>
                <w:rFonts w:hint="default"/>
                <w:color w:val="auto"/>
              </w:rPr>
            </w:pPr>
            <w:r>
              <w:rPr>
                <w:rFonts w:hint="default"/>
                <w:color w:val="auto"/>
                <w:lang w:val="en-US" w:eastAsia="zh-CN"/>
              </w:rPr>
              <w:t>开展</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开展</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开展</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生态安全</w:t>
            </w:r>
          </w:p>
        </w:tc>
        <w:tc>
          <w:tcPr>
            <w:tcW w:w="782"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（二）生态环境质量改善</w:t>
            </w:r>
          </w:p>
        </w:tc>
        <w:tc>
          <w:tcPr>
            <w:tcW w:w="341" w:type="dxa"/>
            <w:vMerge w:val="restart"/>
            <w:tcBorders>
              <w:tl2br w:val="nil"/>
              <w:tr2bl w:val="nil"/>
            </w:tcBorders>
            <w:noWrap w:val="0"/>
            <w:vAlign w:val="center"/>
          </w:tcPr>
          <w:p>
            <w:pPr>
              <w:pStyle w:val="27"/>
              <w:bidi w:val="0"/>
              <w:rPr>
                <w:rFonts w:hint="default"/>
                <w:color w:val="auto"/>
              </w:rPr>
            </w:pPr>
            <w:r>
              <w:rPr>
                <w:rFonts w:hint="eastAsia"/>
                <w:color w:val="auto"/>
                <w:lang w:val="en-US" w:eastAsia="zh-CN"/>
              </w:rPr>
              <w:t>7</w:t>
            </w:r>
          </w:p>
        </w:tc>
        <w:tc>
          <w:tcPr>
            <w:tcW w:w="855"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环境空气质量：</w:t>
            </w:r>
          </w:p>
        </w:tc>
        <w:tc>
          <w:tcPr>
            <w:tcW w:w="2239" w:type="dxa"/>
            <w:gridSpan w:val="2"/>
            <w:tcBorders>
              <w:tl2br w:val="nil"/>
              <w:tr2bl w:val="nil"/>
            </w:tcBorders>
            <w:noWrap w:val="0"/>
            <w:vAlign w:val="center"/>
          </w:tcPr>
          <w:p>
            <w:pPr>
              <w:pStyle w:val="27"/>
              <w:bidi w:val="0"/>
              <w:ind w:firstLine="0" w:firstLineChars="0"/>
              <w:jc w:val="center"/>
              <w:rPr>
                <w:rFonts w:hint="default"/>
                <w:color w:val="auto"/>
                <w:lang w:val="en-US" w:eastAsia="zh-CN"/>
              </w:rPr>
            </w:pPr>
            <w:r>
              <w:rPr>
                <w:rFonts w:hint="default"/>
                <w:color w:val="auto"/>
                <w:lang w:val="en-US" w:eastAsia="zh-CN"/>
              </w:rPr>
              <w:t>优良天数比例</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完成上级规定的考核任务；保持稳定或持续改善</w:t>
            </w:r>
          </w:p>
        </w:tc>
        <w:tc>
          <w:tcPr>
            <w:tcW w:w="1477" w:type="dxa"/>
            <w:tcBorders>
              <w:tl2br w:val="nil"/>
              <w:tr2bl w:val="nil"/>
            </w:tcBorders>
            <w:noWrap w:val="0"/>
            <w:vAlign w:val="center"/>
          </w:tcPr>
          <w:p>
            <w:pPr>
              <w:pStyle w:val="27"/>
              <w:bidi w:val="0"/>
              <w:rPr>
                <w:rFonts w:hint="default"/>
                <w:color w:val="auto"/>
                <w:lang w:val="en-US"/>
              </w:rPr>
            </w:pPr>
            <w:r>
              <w:rPr>
                <w:rFonts w:hint="default"/>
                <w:color w:val="auto"/>
                <w:lang w:val="en-US" w:eastAsia="zh-CN"/>
              </w:rPr>
              <w:t>87.4</w:t>
            </w:r>
          </w:p>
        </w:tc>
        <w:tc>
          <w:tcPr>
            <w:tcW w:w="795"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完成上级规定的考核任务；保持稳定或持续改善</w:t>
            </w:r>
          </w:p>
        </w:tc>
        <w:tc>
          <w:tcPr>
            <w:tcW w:w="1802"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完成上级规定的考核任务；保持稳定或持续改善</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vMerge w:val="continue"/>
            <w:tcBorders>
              <w:tl2br w:val="nil"/>
              <w:tr2bl w:val="nil"/>
            </w:tcBorders>
            <w:noWrap w:val="0"/>
            <w:vAlign w:val="center"/>
          </w:tcPr>
          <w:p>
            <w:pPr>
              <w:pStyle w:val="27"/>
              <w:bidi w:val="0"/>
              <w:rPr>
                <w:rFonts w:hint="default"/>
                <w:color w:val="auto"/>
              </w:rPr>
            </w:pPr>
          </w:p>
        </w:tc>
        <w:tc>
          <w:tcPr>
            <w:tcW w:w="855" w:type="dxa"/>
            <w:vMerge w:val="continue"/>
            <w:tcBorders>
              <w:tl2br w:val="nil"/>
              <w:tr2bl w:val="nil"/>
            </w:tcBorders>
            <w:noWrap w:val="0"/>
            <w:vAlign w:val="center"/>
          </w:tcPr>
          <w:p>
            <w:pPr>
              <w:pStyle w:val="27"/>
              <w:bidi w:val="0"/>
              <w:rPr>
                <w:rFonts w:hint="default"/>
                <w:color w:val="auto"/>
              </w:rPr>
            </w:pPr>
          </w:p>
        </w:tc>
        <w:tc>
          <w:tcPr>
            <w:tcW w:w="2239" w:type="dxa"/>
            <w:gridSpan w:val="2"/>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PM</w:t>
            </w:r>
            <w:r>
              <w:rPr>
                <w:rFonts w:hint="default"/>
                <w:color w:val="auto"/>
                <w:vertAlign w:val="subscript"/>
                <w:lang w:val="en-US" w:eastAsia="zh-CN"/>
              </w:rPr>
              <w:t>2.5</w:t>
            </w:r>
            <w:r>
              <w:rPr>
                <w:rFonts w:hint="default"/>
                <w:color w:val="auto"/>
                <w:lang w:val="en-US" w:eastAsia="zh-CN"/>
              </w:rPr>
              <w:t>浓度下降幅度</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vMerge w:val="continue"/>
            <w:tcBorders>
              <w:tl2br w:val="nil"/>
              <w:tr2bl w:val="nil"/>
            </w:tcBorders>
            <w:noWrap w:val="0"/>
            <w:vAlign w:val="center"/>
          </w:tcPr>
          <w:p>
            <w:pPr>
              <w:pStyle w:val="27"/>
              <w:bidi w:val="0"/>
              <w:rPr>
                <w:rFonts w:hint="default"/>
                <w:color w:val="auto"/>
              </w:rPr>
            </w:pPr>
          </w:p>
        </w:tc>
        <w:tc>
          <w:tcPr>
            <w:tcW w:w="1477" w:type="dxa"/>
            <w:tcBorders>
              <w:tl2br w:val="nil"/>
              <w:tr2bl w:val="nil"/>
            </w:tcBorders>
            <w:noWrap w:val="0"/>
            <w:vAlign w:val="center"/>
          </w:tcPr>
          <w:p>
            <w:pPr>
              <w:pStyle w:val="27"/>
              <w:bidi w:val="0"/>
              <w:rPr>
                <w:rFonts w:hint="default"/>
                <w:color w:val="auto"/>
              </w:rPr>
            </w:pPr>
            <w:r>
              <w:rPr>
                <w:rFonts w:hint="eastAsia"/>
                <w:color w:val="auto"/>
                <w:lang w:val="en-US" w:eastAsia="zh-CN"/>
              </w:rPr>
              <w:t>4.4</w:t>
            </w:r>
          </w:p>
        </w:tc>
        <w:tc>
          <w:tcPr>
            <w:tcW w:w="795" w:type="dxa"/>
            <w:vMerge w:val="continue"/>
            <w:tcBorders>
              <w:tl2br w:val="nil"/>
              <w:tr2bl w:val="nil"/>
            </w:tcBorders>
            <w:noWrap w:val="0"/>
            <w:vAlign w:val="center"/>
          </w:tcPr>
          <w:p>
            <w:pPr>
              <w:pStyle w:val="27"/>
              <w:bidi w:val="0"/>
              <w:rPr>
                <w:rFonts w:hint="default"/>
                <w:color w:val="auto"/>
              </w:rPr>
            </w:pPr>
          </w:p>
        </w:tc>
        <w:tc>
          <w:tcPr>
            <w:tcW w:w="1720" w:type="dxa"/>
            <w:vMerge w:val="continue"/>
            <w:tcBorders>
              <w:tl2br w:val="nil"/>
              <w:tr2bl w:val="nil"/>
            </w:tcBorders>
            <w:noWrap w:val="0"/>
            <w:vAlign w:val="center"/>
          </w:tcPr>
          <w:p>
            <w:pPr>
              <w:pStyle w:val="27"/>
              <w:bidi w:val="0"/>
              <w:rPr>
                <w:rFonts w:hint="default"/>
                <w:color w:val="auto"/>
              </w:rPr>
            </w:pPr>
          </w:p>
        </w:tc>
        <w:tc>
          <w:tcPr>
            <w:tcW w:w="1802" w:type="dxa"/>
            <w:vMerge w:val="continue"/>
            <w:tcBorders>
              <w:tl2br w:val="nil"/>
              <w:tr2bl w:val="nil"/>
            </w:tcBorders>
            <w:noWrap w:val="0"/>
            <w:vAlign w:val="center"/>
          </w:tcPr>
          <w:p>
            <w:pPr>
              <w:pStyle w:val="27"/>
              <w:bidi w:val="0"/>
              <w:rPr>
                <w:rFonts w:hint="default"/>
                <w:color w:val="auto"/>
              </w:rPr>
            </w:pP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vMerge w:val="restart"/>
            <w:tcBorders>
              <w:tl2br w:val="nil"/>
              <w:tr2bl w:val="nil"/>
            </w:tcBorders>
            <w:noWrap w:val="0"/>
            <w:vAlign w:val="center"/>
          </w:tcPr>
          <w:p>
            <w:pPr>
              <w:pStyle w:val="27"/>
              <w:bidi w:val="0"/>
              <w:rPr>
                <w:rFonts w:hint="default"/>
                <w:color w:val="auto"/>
              </w:rPr>
            </w:pPr>
            <w:r>
              <w:rPr>
                <w:rFonts w:hint="eastAsia"/>
                <w:color w:val="auto"/>
                <w:lang w:val="en-US" w:eastAsia="zh-CN"/>
              </w:rPr>
              <w:t>8</w:t>
            </w:r>
          </w:p>
        </w:tc>
        <w:tc>
          <w:tcPr>
            <w:tcW w:w="855" w:type="dxa"/>
            <w:vMerge w:val="restart"/>
            <w:tcBorders>
              <w:tl2br w:val="nil"/>
              <w:tr2bl w:val="nil"/>
            </w:tcBorders>
            <w:noWrap w:val="0"/>
            <w:vAlign w:val="center"/>
          </w:tcPr>
          <w:p>
            <w:pPr>
              <w:pStyle w:val="27"/>
              <w:bidi w:val="0"/>
              <w:jc w:val="both"/>
              <w:rPr>
                <w:rFonts w:hint="default"/>
                <w:color w:val="auto"/>
              </w:rPr>
            </w:pPr>
            <w:r>
              <w:rPr>
                <w:rFonts w:hint="default"/>
                <w:color w:val="auto"/>
                <w:lang w:val="en-US" w:eastAsia="zh-CN"/>
              </w:rPr>
              <w:t>水环境质量：</w:t>
            </w:r>
          </w:p>
        </w:tc>
        <w:tc>
          <w:tcPr>
            <w:tcW w:w="2239" w:type="dxa"/>
            <w:gridSpan w:val="2"/>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水质达到或优于Ⅲ类比例提高幅度</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完成上级规定的考核任务；保持稳定或持续改善</w:t>
            </w:r>
          </w:p>
        </w:tc>
        <w:tc>
          <w:tcPr>
            <w:tcW w:w="1477" w:type="dxa"/>
            <w:vMerge w:val="restart"/>
            <w:tcBorders>
              <w:tl2br w:val="nil"/>
              <w:tr2bl w:val="nil"/>
            </w:tcBorders>
            <w:noWrap w:val="0"/>
            <w:vAlign w:val="center"/>
          </w:tcPr>
          <w:p>
            <w:pPr>
              <w:pStyle w:val="27"/>
              <w:bidi w:val="0"/>
              <w:rPr>
                <w:rFonts w:hint="default" w:eastAsia="仿宋"/>
                <w:color w:val="auto"/>
                <w:lang w:val="en-US" w:eastAsia="zh-CN"/>
              </w:rPr>
            </w:pPr>
            <w:r>
              <w:rPr>
                <w:rFonts w:hint="eastAsia"/>
                <w:color w:val="auto"/>
                <w:lang w:val="en-US" w:eastAsia="zh-CN"/>
              </w:rPr>
              <w:t>现状水质100%</w:t>
            </w:r>
            <w:r>
              <w:rPr>
                <w:rFonts w:hint="default"/>
                <w:color w:val="auto"/>
                <w:lang w:val="en-US" w:eastAsia="zh-CN"/>
              </w:rPr>
              <w:t>达到或优于Ⅲ类</w:t>
            </w:r>
            <w:r>
              <w:rPr>
                <w:rFonts w:hint="eastAsia"/>
                <w:color w:val="auto"/>
                <w:lang w:val="en-US" w:eastAsia="zh-CN"/>
              </w:rPr>
              <w:t>，无</w:t>
            </w:r>
            <w:r>
              <w:rPr>
                <w:rFonts w:hint="default"/>
                <w:color w:val="auto"/>
                <w:lang w:val="en-US" w:eastAsia="zh-CN"/>
              </w:rPr>
              <w:t>劣Ⅴ类水体</w:t>
            </w:r>
            <w:r>
              <w:rPr>
                <w:rFonts w:hint="eastAsia"/>
                <w:color w:val="auto"/>
                <w:lang w:val="en-US" w:eastAsia="zh-CN"/>
              </w:rPr>
              <w:t>，黑臭水体全面消除</w:t>
            </w:r>
          </w:p>
        </w:tc>
        <w:tc>
          <w:tcPr>
            <w:tcW w:w="795"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完成上级规定的考核任务；保持稳定或持续改善</w:t>
            </w:r>
          </w:p>
        </w:tc>
        <w:tc>
          <w:tcPr>
            <w:tcW w:w="1802"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完成上级规定的考核任务；保持稳定或持续改善</w:t>
            </w:r>
          </w:p>
        </w:tc>
        <w:tc>
          <w:tcPr>
            <w:tcW w:w="831"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vMerge w:val="continue"/>
            <w:tcBorders>
              <w:tl2br w:val="nil"/>
              <w:tr2bl w:val="nil"/>
            </w:tcBorders>
            <w:noWrap w:val="0"/>
            <w:vAlign w:val="center"/>
          </w:tcPr>
          <w:p>
            <w:pPr>
              <w:pStyle w:val="27"/>
              <w:bidi w:val="0"/>
              <w:rPr>
                <w:rFonts w:hint="default"/>
                <w:color w:val="auto"/>
              </w:rPr>
            </w:pPr>
          </w:p>
        </w:tc>
        <w:tc>
          <w:tcPr>
            <w:tcW w:w="855" w:type="dxa"/>
            <w:vMerge w:val="continue"/>
            <w:tcBorders>
              <w:tl2br w:val="nil"/>
              <w:tr2bl w:val="nil"/>
            </w:tcBorders>
            <w:noWrap w:val="0"/>
            <w:vAlign w:val="center"/>
          </w:tcPr>
          <w:p>
            <w:pPr>
              <w:pStyle w:val="27"/>
              <w:bidi w:val="0"/>
              <w:rPr>
                <w:rFonts w:hint="default"/>
                <w:color w:val="auto"/>
              </w:rPr>
            </w:pPr>
          </w:p>
        </w:tc>
        <w:tc>
          <w:tcPr>
            <w:tcW w:w="2239" w:type="dxa"/>
            <w:gridSpan w:val="2"/>
            <w:tcBorders>
              <w:tl2br w:val="nil"/>
              <w:tr2bl w:val="nil"/>
            </w:tcBorders>
            <w:noWrap w:val="0"/>
            <w:vAlign w:val="center"/>
          </w:tcPr>
          <w:p>
            <w:pPr>
              <w:pStyle w:val="27"/>
              <w:bidi w:val="0"/>
              <w:rPr>
                <w:rFonts w:hint="default"/>
                <w:color w:val="auto"/>
              </w:rPr>
            </w:pPr>
            <w:r>
              <w:rPr>
                <w:rFonts w:hint="default"/>
                <w:color w:val="auto"/>
                <w:lang w:val="en-US" w:eastAsia="zh-CN"/>
              </w:rPr>
              <w:t>劣Ⅴ类水体比例下降幅度</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vMerge w:val="continue"/>
            <w:tcBorders>
              <w:tl2br w:val="nil"/>
              <w:tr2bl w:val="nil"/>
            </w:tcBorders>
            <w:noWrap w:val="0"/>
            <w:vAlign w:val="center"/>
          </w:tcPr>
          <w:p>
            <w:pPr>
              <w:pStyle w:val="27"/>
              <w:bidi w:val="0"/>
              <w:rPr>
                <w:rFonts w:hint="default"/>
                <w:color w:val="auto"/>
              </w:rPr>
            </w:pPr>
          </w:p>
        </w:tc>
        <w:tc>
          <w:tcPr>
            <w:tcW w:w="1477" w:type="dxa"/>
            <w:vMerge w:val="continue"/>
            <w:tcBorders>
              <w:tl2br w:val="nil"/>
              <w:tr2bl w:val="nil"/>
            </w:tcBorders>
            <w:noWrap w:val="0"/>
            <w:vAlign w:val="center"/>
          </w:tcPr>
          <w:p>
            <w:pPr>
              <w:pStyle w:val="27"/>
              <w:bidi w:val="0"/>
              <w:rPr>
                <w:rFonts w:hint="default"/>
                <w:color w:val="auto"/>
                <w:lang w:val="en-US"/>
              </w:rPr>
            </w:pPr>
          </w:p>
        </w:tc>
        <w:tc>
          <w:tcPr>
            <w:tcW w:w="795" w:type="dxa"/>
            <w:vMerge w:val="continue"/>
            <w:tcBorders>
              <w:tl2br w:val="nil"/>
              <w:tr2bl w:val="nil"/>
            </w:tcBorders>
            <w:noWrap w:val="0"/>
            <w:vAlign w:val="center"/>
          </w:tcPr>
          <w:p>
            <w:pPr>
              <w:pStyle w:val="27"/>
              <w:bidi w:val="0"/>
              <w:rPr>
                <w:rFonts w:hint="default"/>
                <w:color w:val="auto"/>
              </w:rPr>
            </w:pPr>
          </w:p>
        </w:tc>
        <w:tc>
          <w:tcPr>
            <w:tcW w:w="1720" w:type="dxa"/>
            <w:vMerge w:val="continue"/>
            <w:tcBorders>
              <w:tl2br w:val="nil"/>
              <w:tr2bl w:val="nil"/>
            </w:tcBorders>
            <w:noWrap w:val="0"/>
            <w:vAlign w:val="center"/>
          </w:tcPr>
          <w:p>
            <w:pPr>
              <w:pStyle w:val="27"/>
              <w:bidi w:val="0"/>
              <w:rPr>
                <w:rFonts w:hint="default"/>
                <w:color w:val="auto"/>
              </w:rPr>
            </w:pPr>
          </w:p>
        </w:tc>
        <w:tc>
          <w:tcPr>
            <w:tcW w:w="1802" w:type="dxa"/>
            <w:vMerge w:val="continue"/>
            <w:tcBorders>
              <w:tl2br w:val="nil"/>
              <w:tr2bl w:val="nil"/>
            </w:tcBorders>
            <w:noWrap w:val="0"/>
            <w:vAlign w:val="center"/>
          </w:tcPr>
          <w:p>
            <w:pPr>
              <w:pStyle w:val="27"/>
              <w:bidi w:val="0"/>
              <w:rPr>
                <w:rFonts w:hint="default"/>
                <w:color w:val="auto"/>
              </w:rPr>
            </w:pPr>
          </w:p>
        </w:tc>
        <w:tc>
          <w:tcPr>
            <w:tcW w:w="831" w:type="dxa"/>
            <w:vMerge w:val="continue"/>
            <w:tcBorders>
              <w:tl2br w:val="nil"/>
              <w:tr2bl w:val="nil"/>
            </w:tcBorders>
            <w:noWrap w:val="0"/>
            <w:vAlign w:val="center"/>
          </w:tcPr>
          <w:p>
            <w:pPr>
              <w:pStyle w:val="27"/>
              <w:bidi w:val="0"/>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vMerge w:val="continue"/>
            <w:tcBorders>
              <w:tl2br w:val="nil"/>
              <w:tr2bl w:val="nil"/>
            </w:tcBorders>
            <w:noWrap w:val="0"/>
            <w:vAlign w:val="center"/>
          </w:tcPr>
          <w:p>
            <w:pPr>
              <w:pStyle w:val="27"/>
              <w:bidi w:val="0"/>
              <w:rPr>
                <w:rFonts w:hint="default"/>
                <w:color w:val="auto"/>
              </w:rPr>
            </w:pPr>
          </w:p>
        </w:tc>
        <w:tc>
          <w:tcPr>
            <w:tcW w:w="855" w:type="dxa"/>
            <w:vMerge w:val="continue"/>
            <w:tcBorders>
              <w:tl2br w:val="nil"/>
              <w:tr2bl w:val="nil"/>
            </w:tcBorders>
            <w:noWrap w:val="0"/>
            <w:vAlign w:val="center"/>
          </w:tcPr>
          <w:p>
            <w:pPr>
              <w:pStyle w:val="27"/>
              <w:bidi w:val="0"/>
              <w:rPr>
                <w:rFonts w:hint="default"/>
                <w:color w:val="auto"/>
              </w:rPr>
            </w:pPr>
          </w:p>
        </w:tc>
        <w:tc>
          <w:tcPr>
            <w:tcW w:w="2239" w:type="dxa"/>
            <w:gridSpan w:val="2"/>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黑臭水体消除比例</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vMerge w:val="continue"/>
            <w:tcBorders>
              <w:tl2br w:val="nil"/>
              <w:tr2bl w:val="nil"/>
            </w:tcBorders>
            <w:noWrap w:val="0"/>
            <w:vAlign w:val="center"/>
          </w:tcPr>
          <w:p>
            <w:pPr>
              <w:pStyle w:val="27"/>
              <w:bidi w:val="0"/>
              <w:rPr>
                <w:rFonts w:hint="default"/>
                <w:color w:val="auto"/>
              </w:rPr>
            </w:pPr>
          </w:p>
        </w:tc>
        <w:tc>
          <w:tcPr>
            <w:tcW w:w="1477" w:type="dxa"/>
            <w:vMerge w:val="continue"/>
            <w:tcBorders>
              <w:tl2br w:val="nil"/>
              <w:tr2bl w:val="nil"/>
            </w:tcBorders>
            <w:noWrap w:val="0"/>
            <w:vAlign w:val="center"/>
          </w:tcPr>
          <w:p>
            <w:pPr>
              <w:pStyle w:val="27"/>
              <w:bidi w:val="0"/>
              <w:rPr>
                <w:rFonts w:hint="default"/>
                <w:color w:val="auto"/>
              </w:rPr>
            </w:pPr>
          </w:p>
        </w:tc>
        <w:tc>
          <w:tcPr>
            <w:tcW w:w="795" w:type="dxa"/>
            <w:vMerge w:val="continue"/>
            <w:tcBorders>
              <w:tl2br w:val="nil"/>
              <w:tr2bl w:val="nil"/>
            </w:tcBorders>
            <w:noWrap w:val="0"/>
            <w:vAlign w:val="center"/>
          </w:tcPr>
          <w:p>
            <w:pPr>
              <w:pStyle w:val="27"/>
              <w:bidi w:val="0"/>
              <w:rPr>
                <w:rFonts w:hint="default"/>
                <w:color w:val="auto"/>
              </w:rPr>
            </w:pPr>
          </w:p>
        </w:tc>
        <w:tc>
          <w:tcPr>
            <w:tcW w:w="1720" w:type="dxa"/>
            <w:vMerge w:val="continue"/>
            <w:tcBorders>
              <w:tl2br w:val="nil"/>
              <w:tr2bl w:val="nil"/>
            </w:tcBorders>
            <w:noWrap w:val="0"/>
            <w:vAlign w:val="center"/>
          </w:tcPr>
          <w:p>
            <w:pPr>
              <w:pStyle w:val="27"/>
              <w:bidi w:val="0"/>
              <w:rPr>
                <w:rFonts w:hint="default"/>
                <w:color w:val="auto"/>
              </w:rPr>
            </w:pPr>
          </w:p>
        </w:tc>
        <w:tc>
          <w:tcPr>
            <w:tcW w:w="1802" w:type="dxa"/>
            <w:vMerge w:val="continue"/>
            <w:tcBorders>
              <w:tl2br w:val="nil"/>
              <w:tr2bl w:val="nil"/>
            </w:tcBorders>
            <w:noWrap w:val="0"/>
            <w:vAlign w:val="center"/>
          </w:tcPr>
          <w:p>
            <w:pPr>
              <w:pStyle w:val="27"/>
              <w:bidi w:val="0"/>
              <w:rPr>
                <w:rFonts w:hint="default"/>
                <w:color w:val="auto"/>
              </w:rPr>
            </w:pPr>
          </w:p>
        </w:tc>
        <w:tc>
          <w:tcPr>
            <w:tcW w:w="831" w:type="dxa"/>
            <w:vMerge w:val="continue"/>
            <w:tcBorders>
              <w:tl2br w:val="nil"/>
              <w:tr2bl w:val="nil"/>
            </w:tcBorders>
            <w:noWrap w:val="0"/>
            <w:vAlign w:val="center"/>
          </w:tcPr>
          <w:p>
            <w:pPr>
              <w:pStyle w:val="27"/>
              <w:bidi w:val="0"/>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482"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（三）生态系统保护</w:t>
            </w:r>
          </w:p>
        </w:tc>
        <w:tc>
          <w:tcPr>
            <w:tcW w:w="341" w:type="dxa"/>
            <w:tcBorders>
              <w:tl2br w:val="nil"/>
              <w:tr2bl w:val="nil"/>
            </w:tcBorders>
            <w:noWrap w:val="0"/>
            <w:vAlign w:val="center"/>
          </w:tcPr>
          <w:p>
            <w:pPr>
              <w:pStyle w:val="27"/>
              <w:bidi w:val="0"/>
              <w:rPr>
                <w:rFonts w:hint="default"/>
                <w:color w:val="auto"/>
              </w:rPr>
            </w:pPr>
            <w:r>
              <w:rPr>
                <w:rFonts w:hint="eastAsia"/>
                <w:color w:val="auto"/>
                <w:lang w:val="en-US" w:eastAsia="zh-CN"/>
              </w:rPr>
              <w:t>9</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生态</w:t>
            </w:r>
            <w:r>
              <w:rPr>
                <w:rFonts w:hint="eastAsia"/>
                <w:color w:val="auto"/>
                <w:lang w:val="en-US" w:eastAsia="zh-CN"/>
              </w:rPr>
              <w:t>质量</w:t>
            </w:r>
            <w:r>
              <w:rPr>
                <w:rFonts w:hint="default"/>
                <w:color w:val="auto"/>
                <w:lang w:val="en-US" w:eastAsia="zh-CN"/>
              </w:rPr>
              <w:t>指数（E</w:t>
            </w:r>
            <w:r>
              <w:rPr>
                <w:rFonts w:hint="eastAsia"/>
                <w:color w:val="auto"/>
                <w:lang w:val="en-US" w:eastAsia="zh-CN"/>
              </w:rPr>
              <w:t>Q</w:t>
            </w:r>
            <w:r>
              <w:rPr>
                <w:rFonts w:hint="default"/>
                <w:color w:val="auto"/>
                <w:lang w:val="en-US" w:eastAsia="zh-CN"/>
              </w:rPr>
              <w:t>I）</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lang w:val="en-US"/>
              </w:rPr>
            </w:pPr>
            <w:r>
              <w:rPr>
                <w:rFonts w:hint="default"/>
                <w:color w:val="auto"/>
                <w:lang w:val="en-US" w:eastAsia="zh-CN"/>
              </w:rPr>
              <w:t>ΔE</w:t>
            </w:r>
            <w:r>
              <w:rPr>
                <w:rFonts w:hint="eastAsia"/>
                <w:color w:val="auto"/>
                <w:lang w:val="en-US" w:eastAsia="zh-CN"/>
              </w:rPr>
              <w:t>Q</w:t>
            </w:r>
            <w:r>
              <w:rPr>
                <w:rFonts w:hint="default"/>
                <w:color w:val="auto"/>
                <w:lang w:val="en-US" w:eastAsia="zh-CN"/>
              </w:rPr>
              <w:t>I≥</w:t>
            </w:r>
            <w:r>
              <w:rPr>
                <w:rFonts w:hint="eastAsia"/>
                <w:color w:val="auto"/>
                <w:lang w:val="en-US" w:eastAsia="zh-CN"/>
              </w:rPr>
              <w:t>-1</w:t>
            </w:r>
          </w:p>
        </w:tc>
        <w:tc>
          <w:tcPr>
            <w:tcW w:w="1477" w:type="dxa"/>
            <w:tcBorders>
              <w:tl2br w:val="nil"/>
              <w:tr2bl w:val="nil"/>
            </w:tcBorders>
            <w:noWrap w:val="0"/>
            <w:vAlign w:val="center"/>
          </w:tcPr>
          <w:p>
            <w:pPr>
              <w:pStyle w:val="27"/>
              <w:bidi w:val="0"/>
              <w:rPr>
                <w:rFonts w:hint="default" w:eastAsia="仿宋"/>
                <w:color w:val="auto"/>
                <w:lang w:val="en-US" w:eastAsia="zh-CN"/>
              </w:rPr>
            </w:pPr>
            <w:r>
              <w:rPr>
                <w:rFonts w:hint="eastAsia"/>
                <w:color w:val="auto"/>
                <w:lang w:val="en-US" w:eastAsia="zh-CN"/>
              </w:rPr>
              <w:t>0.1</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ΔE</w:t>
            </w:r>
            <w:r>
              <w:rPr>
                <w:rFonts w:hint="eastAsia"/>
                <w:color w:val="auto"/>
                <w:lang w:val="en-US" w:eastAsia="zh-CN"/>
              </w:rPr>
              <w:t>Q</w:t>
            </w:r>
            <w:r>
              <w:rPr>
                <w:rFonts w:hint="default"/>
                <w:color w:val="auto"/>
                <w:lang w:val="en-US" w:eastAsia="zh-CN"/>
              </w:rPr>
              <w:t>I≥</w:t>
            </w:r>
            <w:r>
              <w:rPr>
                <w:rFonts w:hint="eastAsia"/>
                <w:color w:val="auto"/>
                <w:lang w:val="en-US" w:eastAsia="zh-CN"/>
              </w:rPr>
              <w:t>-1</w:t>
            </w:r>
          </w:p>
        </w:tc>
        <w:tc>
          <w:tcPr>
            <w:tcW w:w="1802"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ΔE</w:t>
            </w:r>
            <w:r>
              <w:rPr>
                <w:rFonts w:hint="eastAsia"/>
                <w:color w:val="auto"/>
                <w:lang w:val="en-US" w:eastAsia="zh-CN"/>
              </w:rPr>
              <w:t>Q</w:t>
            </w:r>
            <w:r>
              <w:rPr>
                <w:rFonts w:hint="default"/>
                <w:color w:val="auto"/>
                <w:lang w:val="en-US" w:eastAsia="zh-CN"/>
              </w:rPr>
              <w:t>I≥</w:t>
            </w:r>
            <w:r>
              <w:rPr>
                <w:rFonts w:hint="eastAsia"/>
                <w:color w:val="auto"/>
                <w:lang w:val="en-US" w:eastAsia="zh-CN"/>
              </w:rPr>
              <w:t>-1</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rPr>
            </w:pPr>
            <w:r>
              <w:rPr>
                <w:rFonts w:hint="default"/>
                <w:color w:val="auto"/>
                <w:lang w:val="en-US" w:eastAsia="zh-CN"/>
              </w:rPr>
              <w:t>1</w:t>
            </w:r>
            <w:r>
              <w:rPr>
                <w:rFonts w:hint="eastAsia"/>
                <w:color w:val="auto"/>
                <w:lang w:val="en-US" w:eastAsia="zh-CN"/>
              </w:rPr>
              <w:t>0</w:t>
            </w:r>
          </w:p>
        </w:tc>
        <w:tc>
          <w:tcPr>
            <w:tcW w:w="3094" w:type="dxa"/>
            <w:gridSpan w:val="3"/>
            <w:tcBorders>
              <w:tl2br w:val="nil"/>
              <w:tr2bl w:val="nil"/>
            </w:tcBorders>
            <w:noWrap w:val="0"/>
            <w:vAlign w:val="center"/>
          </w:tcPr>
          <w:p>
            <w:pPr>
              <w:pStyle w:val="27"/>
              <w:bidi w:val="0"/>
              <w:rPr>
                <w:rFonts w:hint="default"/>
                <w:color w:val="auto"/>
                <w:lang w:val="en-US"/>
              </w:rPr>
            </w:pPr>
            <w:r>
              <w:rPr>
                <w:rFonts w:hint="eastAsia"/>
                <w:color w:val="auto"/>
                <w:lang w:val="en-US" w:eastAsia="zh-CN"/>
              </w:rPr>
              <w:t>林草覆盖率</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w:t>
            </w:r>
            <w:r>
              <w:rPr>
                <w:rFonts w:hint="eastAsia"/>
                <w:color w:val="auto"/>
                <w:lang w:val="en-US" w:eastAsia="zh-CN"/>
              </w:rPr>
              <w:t>18</w:t>
            </w:r>
            <w:r>
              <w:rPr>
                <w:rFonts w:hint="default"/>
                <w:color w:val="auto"/>
                <w:lang w:val="en-US" w:eastAsia="zh-CN"/>
              </w:rPr>
              <w:t>（</w:t>
            </w:r>
            <w:r>
              <w:rPr>
                <w:rFonts w:hint="eastAsia"/>
                <w:color w:val="auto"/>
                <w:lang w:val="en-US" w:eastAsia="zh-CN"/>
              </w:rPr>
              <w:t>平原区</w:t>
            </w:r>
            <w:r>
              <w:rPr>
                <w:rFonts w:hint="default"/>
                <w:color w:val="auto"/>
                <w:lang w:val="en-US" w:eastAsia="zh-CN"/>
              </w:rPr>
              <w:t>）</w:t>
            </w:r>
          </w:p>
        </w:tc>
        <w:tc>
          <w:tcPr>
            <w:tcW w:w="1477"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14.7</w:t>
            </w:r>
          </w:p>
        </w:tc>
        <w:tc>
          <w:tcPr>
            <w:tcW w:w="795"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不</w:t>
            </w: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14.7</w:t>
            </w:r>
          </w:p>
        </w:tc>
        <w:tc>
          <w:tcPr>
            <w:tcW w:w="1802"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14.7</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1</w:t>
            </w:r>
            <w:r>
              <w:rPr>
                <w:rFonts w:hint="eastAsia"/>
                <w:color w:val="auto"/>
                <w:lang w:val="en-US" w:eastAsia="zh-CN"/>
              </w:rPr>
              <w:t>1</w:t>
            </w:r>
          </w:p>
        </w:tc>
        <w:tc>
          <w:tcPr>
            <w:tcW w:w="885" w:type="dxa"/>
            <w:gridSpan w:val="2"/>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生物多样性保护：</w:t>
            </w:r>
          </w:p>
        </w:tc>
        <w:tc>
          <w:tcPr>
            <w:tcW w:w="2209"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国家重点保护野生动植物保护率</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≥95</w:t>
            </w:r>
          </w:p>
        </w:tc>
        <w:tc>
          <w:tcPr>
            <w:tcW w:w="1477"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≥95</w:t>
            </w:r>
          </w:p>
        </w:tc>
        <w:tc>
          <w:tcPr>
            <w:tcW w:w="795"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lang w:val="en-US"/>
              </w:rPr>
            </w:pPr>
            <w:r>
              <w:rPr>
                <w:rFonts w:hint="default"/>
                <w:color w:val="auto"/>
                <w:lang w:val="en-US" w:eastAsia="zh-CN"/>
              </w:rPr>
              <w:t>≥95</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≥95</w:t>
            </w:r>
          </w:p>
        </w:tc>
        <w:tc>
          <w:tcPr>
            <w:tcW w:w="831"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vMerge w:val="continue"/>
            <w:tcBorders>
              <w:tl2br w:val="nil"/>
              <w:tr2bl w:val="nil"/>
            </w:tcBorders>
            <w:noWrap w:val="0"/>
            <w:vAlign w:val="center"/>
          </w:tcPr>
          <w:p>
            <w:pPr>
              <w:pStyle w:val="27"/>
              <w:bidi w:val="0"/>
              <w:rPr>
                <w:rFonts w:hint="default"/>
                <w:color w:val="auto"/>
              </w:rPr>
            </w:pPr>
          </w:p>
        </w:tc>
        <w:tc>
          <w:tcPr>
            <w:tcW w:w="885" w:type="dxa"/>
            <w:gridSpan w:val="2"/>
            <w:vMerge w:val="continue"/>
            <w:tcBorders>
              <w:tl2br w:val="nil"/>
              <w:tr2bl w:val="nil"/>
            </w:tcBorders>
            <w:noWrap w:val="0"/>
            <w:vAlign w:val="center"/>
          </w:tcPr>
          <w:p>
            <w:pPr>
              <w:pStyle w:val="27"/>
              <w:bidi w:val="0"/>
              <w:rPr>
                <w:rFonts w:hint="default"/>
                <w:color w:val="auto"/>
              </w:rPr>
            </w:pPr>
          </w:p>
        </w:tc>
        <w:tc>
          <w:tcPr>
            <w:tcW w:w="2209"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外来物种入侵</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不明显</w:t>
            </w:r>
          </w:p>
        </w:tc>
        <w:tc>
          <w:tcPr>
            <w:tcW w:w="1477"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不明显</w:t>
            </w:r>
          </w:p>
        </w:tc>
        <w:tc>
          <w:tcPr>
            <w:tcW w:w="795" w:type="dxa"/>
            <w:vMerge w:val="continue"/>
            <w:tcBorders>
              <w:tl2br w:val="nil"/>
              <w:tr2bl w:val="nil"/>
            </w:tcBorders>
            <w:noWrap w:val="0"/>
            <w:vAlign w:val="center"/>
          </w:tcPr>
          <w:p>
            <w:pPr>
              <w:pStyle w:val="27"/>
              <w:bidi w:val="0"/>
              <w:rPr>
                <w:rFonts w:hint="default"/>
                <w:color w:val="auto"/>
                <w:lang w:val="en-US" w:eastAsia="zh-CN"/>
              </w:rPr>
            </w:pPr>
          </w:p>
        </w:tc>
        <w:tc>
          <w:tcPr>
            <w:tcW w:w="1720"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不明显</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不明显</w:t>
            </w:r>
          </w:p>
        </w:tc>
        <w:tc>
          <w:tcPr>
            <w:tcW w:w="831" w:type="dxa"/>
            <w:vMerge w:val="continue"/>
            <w:tcBorders>
              <w:tl2br w:val="nil"/>
              <w:tr2bl w:val="nil"/>
            </w:tcBorders>
            <w:noWrap w:val="0"/>
            <w:vAlign w:val="center"/>
          </w:tcPr>
          <w:p>
            <w:pPr>
              <w:pStyle w:val="27"/>
              <w:bidi w:val="0"/>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vMerge w:val="continue"/>
            <w:tcBorders>
              <w:tl2br w:val="nil"/>
              <w:tr2bl w:val="nil"/>
            </w:tcBorders>
            <w:noWrap w:val="0"/>
            <w:vAlign w:val="center"/>
          </w:tcPr>
          <w:p>
            <w:pPr>
              <w:pStyle w:val="27"/>
              <w:bidi w:val="0"/>
              <w:rPr>
                <w:rFonts w:hint="default"/>
                <w:color w:val="auto"/>
              </w:rPr>
            </w:pPr>
          </w:p>
        </w:tc>
        <w:tc>
          <w:tcPr>
            <w:tcW w:w="885" w:type="dxa"/>
            <w:gridSpan w:val="2"/>
            <w:vMerge w:val="continue"/>
            <w:tcBorders>
              <w:tl2br w:val="nil"/>
              <w:tr2bl w:val="nil"/>
            </w:tcBorders>
            <w:noWrap w:val="0"/>
            <w:vAlign w:val="center"/>
          </w:tcPr>
          <w:p>
            <w:pPr>
              <w:pStyle w:val="27"/>
              <w:bidi w:val="0"/>
              <w:rPr>
                <w:rFonts w:hint="default"/>
                <w:color w:val="auto"/>
              </w:rPr>
            </w:pPr>
          </w:p>
        </w:tc>
        <w:tc>
          <w:tcPr>
            <w:tcW w:w="2209"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特有性或指示性水生物种保持率</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不降低</w:t>
            </w:r>
          </w:p>
        </w:tc>
        <w:tc>
          <w:tcPr>
            <w:tcW w:w="1477" w:type="dxa"/>
            <w:tcBorders>
              <w:tl2br w:val="nil"/>
              <w:tr2bl w:val="nil"/>
            </w:tcBorders>
            <w:noWrap w:val="0"/>
            <w:vAlign w:val="center"/>
          </w:tcPr>
          <w:p>
            <w:pPr>
              <w:pStyle w:val="27"/>
              <w:bidi w:val="0"/>
              <w:rPr>
                <w:rFonts w:hint="default"/>
                <w:color w:val="auto"/>
                <w:lang w:val="en-US"/>
              </w:rPr>
            </w:pPr>
            <w:r>
              <w:rPr>
                <w:rFonts w:hint="default"/>
                <w:color w:val="auto"/>
                <w:lang w:val="en-US" w:eastAsia="zh-CN"/>
              </w:rPr>
              <w:t>不降低</w:t>
            </w:r>
          </w:p>
        </w:tc>
        <w:tc>
          <w:tcPr>
            <w:tcW w:w="795" w:type="dxa"/>
            <w:vMerge w:val="continue"/>
            <w:tcBorders>
              <w:tl2br w:val="nil"/>
              <w:tr2bl w:val="nil"/>
            </w:tcBorders>
            <w:noWrap w:val="0"/>
            <w:vAlign w:val="center"/>
          </w:tcPr>
          <w:p>
            <w:pPr>
              <w:pStyle w:val="27"/>
              <w:bidi w:val="0"/>
              <w:rPr>
                <w:rFonts w:hint="default"/>
                <w:color w:val="auto"/>
              </w:rPr>
            </w:pP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不降低</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不降低</w:t>
            </w:r>
          </w:p>
        </w:tc>
        <w:tc>
          <w:tcPr>
            <w:tcW w:w="831" w:type="dxa"/>
            <w:vMerge w:val="continue"/>
            <w:tcBorders>
              <w:tl2br w:val="nil"/>
              <w:tr2bl w:val="nil"/>
            </w:tcBorders>
            <w:noWrap w:val="0"/>
            <w:vAlign w:val="center"/>
          </w:tcPr>
          <w:p>
            <w:pPr>
              <w:pStyle w:val="27"/>
              <w:bidi w:val="0"/>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（四）环境风险防范</w:t>
            </w:r>
          </w:p>
        </w:tc>
        <w:tc>
          <w:tcPr>
            <w:tcW w:w="341" w:type="dxa"/>
            <w:tcBorders>
              <w:tl2br w:val="nil"/>
              <w:tr2bl w:val="nil"/>
            </w:tcBorders>
            <w:noWrap w:val="0"/>
            <w:vAlign w:val="center"/>
          </w:tcPr>
          <w:p>
            <w:pPr>
              <w:pStyle w:val="27"/>
              <w:bidi w:val="0"/>
              <w:rPr>
                <w:rFonts w:hint="default"/>
                <w:color w:val="auto"/>
              </w:rPr>
            </w:pPr>
            <w:r>
              <w:rPr>
                <w:rFonts w:hint="default"/>
                <w:color w:val="auto"/>
                <w:lang w:val="en-US" w:eastAsia="zh-CN"/>
              </w:rPr>
              <w:t>1</w:t>
            </w:r>
            <w:r>
              <w:rPr>
                <w:rFonts w:hint="eastAsia"/>
                <w:color w:val="auto"/>
                <w:lang w:val="en-US" w:eastAsia="zh-CN"/>
              </w:rPr>
              <w:t>2</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危险废物利用处置率</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1477"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rPr>
            </w:pPr>
            <w:r>
              <w:rPr>
                <w:rFonts w:hint="default"/>
                <w:color w:val="auto"/>
                <w:lang w:val="en-US" w:eastAsia="zh-CN"/>
              </w:rPr>
              <w:t>1</w:t>
            </w:r>
            <w:r>
              <w:rPr>
                <w:rFonts w:hint="eastAsia"/>
                <w:color w:val="auto"/>
                <w:lang w:val="en-US" w:eastAsia="zh-CN"/>
              </w:rPr>
              <w:t>3</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建设用地土壤污染风险管控和修复名录制度</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建立</w:t>
            </w:r>
          </w:p>
        </w:tc>
        <w:tc>
          <w:tcPr>
            <w:tcW w:w="1477" w:type="dxa"/>
            <w:tcBorders>
              <w:tl2br w:val="nil"/>
              <w:tr2bl w:val="nil"/>
            </w:tcBorders>
            <w:noWrap w:val="0"/>
            <w:vAlign w:val="center"/>
          </w:tcPr>
          <w:p>
            <w:pPr>
              <w:pStyle w:val="27"/>
              <w:bidi w:val="0"/>
              <w:rPr>
                <w:rFonts w:hint="default"/>
                <w:color w:val="auto"/>
              </w:rPr>
            </w:pPr>
            <w:r>
              <w:rPr>
                <w:rFonts w:hint="default"/>
                <w:color w:val="auto"/>
                <w:lang w:val="en-US" w:eastAsia="zh-CN"/>
              </w:rPr>
              <w:t>已建立</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建立</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建立</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14</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突发生态环境事件应急管理机制</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建立</w:t>
            </w:r>
          </w:p>
        </w:tc>
        <w:tc>
          <w:tcPr>
            <w:tcW w:w="1477" w:type="dxa"/>
            <w:tcBorders>
              <w:tl2br w:val="nil"/>
              <w:tr2bl w:val="nil"/>
            </w:tcBorders>
            <w:noWrap w:val="0"/>
            <w:vAlign w:val="center"/>
          </w:tcPr>
          <w:p>
            <w:pPr>
              <w:pStyle w:val="27"/>
              <w:bidi w:val="0"/>
              <w:rPr>
                <w:rFonts w:hint="default"/>
                <w:color w:val="auto"/>
              </w:rPr>
            </w:pPr>
            <w:r>
              <w:rPr>
                <w:rFonts w:hint="default"/>
                <w:color w:val="auto"/>
                <w:lang w:val="en-US" w:eastAsia="zh-CN"/>
              </w:rPr>
              <w:t>已建立</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建立</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建立</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生态空间</w:t>
            </w:r>
          </w:p>
        </w:tc>
        <w:tc>
          <w:tcPr>
            <w:tcW w:w="782"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（五）空间格局优化</w:t>
            </w:r>
          </w:p>
        </w:tc>
        <w:tc>
          <w:tcPr>
            <w:tcW w:w="341"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1</w:t>
            </w:r>
            <w:r>
              <w:rPr>
                <w:rFonts w:hint="eastAsia"/>
                <w:color w:val="auto"/>
                <w:lang w:val="en-US" w:eastAsia="zh-CN"/>
              </w:rPr>
              <w:t>5</w:t>
            </w:r>
          </w:p>
        </w:tc>
        <w:tc>
          <w:tcPr>
            <w:tcW w:w="885" w:type="dxa"/>
            <w:gridSpan w:val="2"/>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自然生态空间：</w:t>
            </w:r>
          </w:p>
        </w:tc>
        <w:tc>
          <w:tcPr>
            <w:tcW w:w="2209"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生态保护红线</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面积不减少，性质不改变，功能不降低</w:t>
            </w:r>
          </w:p>
        </w:tc>
        <w:tc>
          <w:tcPr>
            <w:tcW w:w="1477" w:type="dxa"/>
            <w:tcBorders>
              <w:tl2br w:val="nil"/>
              <w:tr2bl w:val="nil"/>
            </w:tcBorders>
            <w:noWrap w:val="0"/>
            <w:vAlign w:val="center"/>
          </w:tcPr>
          <w:p>
            <w:pPr>
              <w:pStyle w:val="27"/>
              <w:bidi w:val="0"/>
              <w:rPr>
                <w:rFonts w:hint="default"/>
                <w:color w:val="auto"/>
              </w:rPr>
            </w:pPr>
            <w:r>
              <w:rPr>
                <w:rFonts w:hint="eastAsia"/>
                <w:color w:val="auto"/>
                <w:lang w:val="en-US" w:eastAsia="zh-CN"/>
              </w:rPr>
              <w:t>2022年，红谷滩区生态保护红线面积3.86平方公里，</w:t>
            </w:r>
            <w:r>
              <w:rPr>
                <w:rFonts w:hint="default"/>
                <w:color w:val="auto"/>
                <w:lang w:val="en-US" w:eastAsia="zh-CN"/>
              </w:rPr>
              <w:t>性质</w:t>
            </w:r>
            <w:r>
              <w:rPr>
                <w:rFonts w:hint="eastAsia"/>
                <w:color w:val="auto"/>
                <w:lang w:val="en-US" w:eastAsia="zh-CN"/>
              </w:rPr>
              <w:t>未发生</w:t>
            </w:r>
            <w:r>
              <w:rPr>
                <w:rFonts w:hint="default"/>
                <w:color w:val="auto"/>
                <w:lang w:val="en-US" w:eastAsia="zh-CN"/>
              </w:rPr>
              <w:t>改变，功能</w:t>
            </w:r>
            <w:r>
              <w:rPr>
                <w:rFonts w:hint="eastAsia"/>
                <w:color w:val="auto"/>
                <w:lang w:val="en-US" w:eastAsia="zh-CN"/>
              </w:rPr>
              <w:t>未</w:t>
            </w:r>
            <w:r>
              <w:rPr>
                <w:rFonts w:hint="default"/>
                <w:color w:val="auto"/>
                <w:lang w:val="en-US" w:eastAsia="zh-CN"/>
              </w:rPr>
              <w:t>降低</w:t>
            </w:r>
          </w:p>
        </w:tc>
        <w:tc>
          <w:tcPr>
            <w:tcW w:w="795"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面积不减少，性质不改变，功能不降低</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面积不减少，性质不改变，功能不降低</w:t>
            </w:r>
          </w:p>
        </w:tc>
        <w:tc>
          <w:tcPr>
            <w:tcW w:w="831"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vMerge w:val="continue"/>
            <w:tcBorders>
              <w:tl2br w:val="nil"/>
              <w:tr2bl w:val="nil"/>
            </w:tcBorders>
            <w:noWrap w:val="0"/>
            <w:vAlign w:val="center"/>
          </w:tcPr>
          <w:p>
            <w:pPr>
              <w:pStyle w:val="27"/>
              <w:bidi w:val="0"/>
              <w:rPr>
                <w:rFonts w:hint="default"/>
                <w:color w:val="auto"/>
              </w:rPr>
            </w:pPr>
          </w:p>
        </w:tc>
        <w:tc>
          <w:tcPr>
            <w:tcW w:w="885" w:type="dxa"/>
            <w:gridSpan w:val="2"/>
            <w:vMerge w:val="continue"/>
            <w:tcBorders>
              <w:tl2br w:val="nil"/>
              <w:tr2bl w:val="nil"/>
            </w:tcBorders>
            <w:noWrap w:val="0"/>
            <w:vAlign w:val="center"/>
          </w:tcPr>
          <w:p>
            <w:pPr>
              <w:pStyle w:val="27"/>
              <w:bidi w:val="0"/>
              <w:rPr>
                <w:rFonts w:hint="default"/>
                <w:color w:val="auto"/>
              </w:rPr>
            </w:pPr>
          </w:p>
        </w:tc>
        <w:tc>
          <w:tcPr>
            <w:tcW w:w="2209"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自然保护地</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面积不减少，性质不改变，功能不降低</w:t>
            </w:r>
          </w:p>
        </w:tc>
        <w:tc>
          <w:tcPr>
            <w:tcW w:w="1477"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eastAsia"/>
                <w:color w:val="auto"/>
                <w:lang w:val="en-US" w:eastAsia="zh-CN"/>
              </w:rPr>
              <w:t>红谷滩区历史和现状均无自然保护地</w:t>
            </w:r>
          </w:p>
        </w:tc>
        <w:tc>
          <w:tcPr>
            <w:tcW w:w="795" w:type="dxa"/>
            <w:vMerge w:val="continue"/>
            <w:tcBorders>
              <w:tl2br w:val="nil"/>
              <w:tr2bl w:val="nil"/>
            </w:tcBorders>
            <w:noWrap w:val="0"/>
            <w:vAlign w:val="center"/>
          </w:tcPr>
          <w:p>
            <w:pPr>
              <w:pStyle w:val="27"/>
              <w:bidi w:val="0"/>
              <w:rPr>
                <w:rFonts w:hint="default"/>
                <w:color w:val="auto"/>
                <w:lang w:val="en-US" w:eastAsia="zh-CN"/>
              </w:rPr>
            </w:pPr>
          </w:p>
        </w:tc>
        <w:tc>
          <w:tcPr>
            <w:tcW w:w="1720"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面积不减少，性质不改变，功能不降低</w:t>
            </w:r>
          </w:p>
        </w:tc>
        <w:tc>
          <w:tcPr>
            <w:tcW w:w="1802"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面积不减少，性质不改变，功能不降低</w:t>
            </w:r>
          </w:p>
        </w:tc>
        <w:tc>
          <w:tcPr>
            <w:tcW w:w="831" w:type="dxa"/>
            <w:vMerge w:val="continue"/>
            <w:tcBorders>
              <w:tl2br w:val="nil"/>
              <w:tr2bl w:val="nil"/>
            </w:tcBorders>
            <w:noWrap w:val="0"/>
            <w:vAlign w:val="center"/>
          </w:tcPr>
          <w:p>
            <w:pPr>
              <w:pStyle w:val="27"/>
              <w:bidi w:val="0"/>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16</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河湖岸线保护率</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完成上级管控目标</w:t>
            </w:r>
          </w:p>
        </w:tc>
        <w:tc>
          <w:tcPr>
            <w:tcW w:w="1477"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72.5，已完成</w:t>
            </w:r>
          </w:p>
          <w:p>
            <w:pPr>
              <w:pStyle w:val="27"/>
              <w:bidi w:val="0"/>
              <w:rPr>
                <w:rFonts w:hint="default"/>
                <w:color w:val="auto"/>
                <w:lang w:val="en-US" w:eastAsia="zh-CN"/>
              </w:rPr>
            </w:pPr>
            <w:r>
              <w:rPr>
                <w:rFonts w:hint="default"/>
                <w:color w:val="auto"/>
                <w:lang w:val="en-US" w:eastAsia="zh-CN"/>
              </w:rPr>
              <w:t>上级管控目标</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完成上级管控目标</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完成上级管控目标</w:t>
            </w:r>
          </w:p>
        </w:tc>
        <w:tc>
          <w:tcPr>
            <w:tcW w:w="831" w:type="dxa"/>
            <w:tcBorders>
              <w:tl2br w:val="nil"/>
              <w:tr2bl w:val="nil"/>
            </w:tcBorders>
            <w:noWrap w:val="0"/>
            <w:vAlign w:val="center"/>
          </w:tcPr>
          <w:p>
            <w:pPr>
              <w:pStyle w:val="27"/>
              <w:bidi w:val="0"/>
              <w:rPr>
                <w:rFonts w:hint="default"/>
                <w:color w:val="auto"/>
              </w:rPr>
            </w:pPr>
            <w:r>
              <w:rPr>
                <w:rFonts w:hint="eastAsia"/>
                <w:color w:val="auto"/>
                <w:lang w:val="en-US" w:eastAsia="zh-CN"/>
              </w:rPr>
              <w:t>参考</w:t>
            </w:r>
            <w:r>
              <w:rPr>
                <w:rFonts w:hint="default"/>
                <w:color w:val="auto"/>
                <w:lang w:val="en-US" w:eastAsia="zh-CN"/>
              </w:rPr>
              <w:t>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生态经济</w:t>
            </w:r>
          </w:p>
        </w:tc>
        <w:tc>
          <w:tcPr>
            <w:tcW w:w="782"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（六）资源节约</w:t>
            </w:r>
            <w:r>
              <w:rPr>
                <w:rFonts w:hint="eastAsia"/>
                <w:color w:val="auto"/>
                <w:lang w:val="en-US" w:eastAsia="zh-CN"/>
              </w:rPr>
              <w:t>与</w:t>
            </w:r>
            <w:r>
              <w:rPr>
                <w:rFonts w:hint="default"/>
                <w:color w:val="auto"/>
                <w:lang w:val="en-US" w:eastAsia="zh-CN"/>
              </w:rPr>
              <w:t>利用</w:t>
            </w:r>
          </w:p>
        </w:tc>
        <w:tc>
          <w:tcPr>
            <w:tcW w:w="341"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17</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单位地区生产总值能耗</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吨标准煤/万元</w:t>
            </w:r>
          </w:p>
        </w:tc>
        <w:tc>
          <w:tcPr>
            <w:tcW w:w="1818"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完成上级规定的目标任务；保持稳定或持续改善</w:t>
            </w:r>
          </w:p>
        </w:tc>
        <w:tc>
          <w:tcPr>
            <w:tcW w:w="1477"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完成上级规定的目标任务；保持稳定或持续改善</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完成上级规定的目标任务；保持稳定或持续改善</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完成上级规定的目标任务；保持稳定或持续改善</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18</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单位地区生产总值用水量</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立方米/万元</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完成上级规定的目标任务；保持稳定或持续改善</w:t>
            </w:r>
          </w:p>
        </w:tc>
        <w:tc>
          <w:tcPr>
            <w:tcW w:w="1477" w:type="dxa"/>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完成上级规定的目标任务；保持稳定或持续改善</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完成上级规定的目标任务；保持稳定或持续改善</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完成上级规定的目标任务；保持稳定或持续改善</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19</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单位国内生产总值建设用地使用面积下降率</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≥4.5</w:t>
            </w:r>
          </w:p>
        </w:tc>
        <w:tc>
          <w:tcPr>
            <w:tcW w:w="1477"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7.49</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≥4.5</w:t>
            </w:r>
          </w:p>
        </w:tc>
        <w:tc>
          <w:tcPr>
            <w:tcW w:w="1802"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≥4.5</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20</w:t>
            </w:r>
          </w:p>
        </w:tc>
        <w:tc>
          <w:tcPr>
            <w:tcW w:w="3094" w:type="dxa"/>
            <w:gridSpan w:val="3"/>
            <w:tcBorders>
              <w:tl2br w:val="nil"/>
              <w:tr2bl w:val="nil"/>
            </w:tcBorders>
            <w:noWrap w:val="0"/>
            <w:vAlign w:val="center"/>
          </w:tcPr>
          <w:p>
            <w:pPr>
              <w:pStyle w:val="27"/>
              <w:bidi w:val="0"/>
              <w:jc w:val="both"/>
              <w:rPr>
                <w:rFonts w:hint="default"/>
                <w:color w:val="auto"/>
                <w:lang w:val="en-US" w:eastAsia="zh-CN"/>
              </w:rPr>
            </w:pPr>
            <w:r>
              <w:rPr>
                <w:rFonts w:hint="default"/>
                <w:color w:val="auto"/>
                <w:lang w:val="en-US" w:eastAsia="zh-CN"/>
              </w:rPr>
              <w:t>化肥农药减量化</w:t>
            </w:r>
            <w:r>
              <w:rPr>
                <w:rFonts w:hint="eastAsia"/>
                <w:color w:val="auto"/>
                <w:lang w:val="en-US" w:eastAsia="zh-CN"/>
              </w:rPr>
              <w:t>：</w:t>
            </w:r>
          </w:p>
          <w:p>
            <w:pPr>
              <w:pStyle w:val="27"/>
              <w:bidi w:val="0"/>
              <w:rPr>
                <w:rFonts w:hint="default"/>
                <w:color w:val="auto"/>
                <w:lang w:val="en-US" w:eastAsia="zh-CN"/>
              </w:rPr>
            </w:pPr>
            <w:r>
              <w:rPr>
                <w:rFonts w:hint="default"/>
                <w:color w:val="auto"/>
                <w:lang w:val="en-US" w:eastAsia="zh-CN"/>
              </w:rPr>
              <w:t>主要农作物化肥亩均施用量主要农作物农药亩均使用量</w:t>
            </w:r>
          </w:p>
        </w:tc>
        <w:tc>
          <w:tcPr>
            <w:tcW w:w="878"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kg/亩</w:t>
            </w:r>
          </w:p>
        </w:tc>
        <w:tc>
          <w:tcPr>
            <w:tcW w:w="1818"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减少</w:t>
            </w:r>
          </w:p>
        </w:tc>
        <w:tc>
          <w:tcPr>
            <w:tcW w:w="1477" w:type="dxa"/>
            <w:tcBorders>
              <w:tl2br w:val="nil"/>
              <w:tr2bl w:val="nil"/>
            </w:tcBorders>
            <w:noWrap w:val="0"/>
            <w:vAlign w:val="center"/>
          </w:tcPr>
          <w:p>
            <w:pPr>
              <w:pStyle w:val="27"/>
              <w:bidi w:val="0"/>
              <w:rPr>
                <w:rFonts w:hint="default" w:eastAsia="仿宋"/>
                <w:color w:val="auto"/>
                <w:lang w:val="en-US" w:eastAsia="zh-CN"/>
              </w:rPr>
            </w:pPr>
            <w:r>
              <w:rPr>
                <w:rFonts w:hint="eastAsia"/>
                <w:color w:val="auto"/>
                <w:lang w:val="en-US" w:eastAsia="zh-CN"/>
              </w:rPr>
              <w:t>减少</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减少</w:t>
            </w:r>
          </w:p>
        </w:tc>
        <w:tc>
          <w:tcPr>
            <w:tcW w:w="1802"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减少</w:t>
            </w:r>
          </w:p>
        </w:tc>
        <w:tc>
          <w:tcPr>
            <w:tcW w:w="831"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（七）产业循环发展</w:t>
            </w:r>
          </w:p>
        </w:tc>
        <w:tc>
          <w:tcPr>
            <w:tcW w:w="341" w:type="dxa"/>
            <w:vMerge w:val="restart"/>
            <w:tcBorders>
              <w:tl2br w:val="nil"/>
              <w:tr2bl w:val="nil"/>
            </w:tcBorders>
            <w:noWrap w:val="0"/>
            <w:vAlign w:val="center"/>
          </w:tcPr>
          <w:p>
            <w:pPr>
              <w:pStyle w:val="27"/>
              <w:bidi w:val="0"/>
              <w:rPr>
                <w:rFonts w:hint="default"/>
                <w:color w:val="auto"/>
                <w:lang w:val="en-US"/>
              </w:rPr>
            </w:pPr>
            <w:r>
              <w:rPr>
                <w:rFonts w:hint="default"/>
                <w:color w:val="auto"/>
                <w:lang w:val="en-US" w:eastAsia="zh-CN"/>
              </w:rPr>
              <w:t>2</w:t>
            </w:r>
            <w:r>
              <w:rPr>
                <w:rFonts w:hint="eastAsia"/>
                <w:color w:val="auto"/>
                <w:lang w:val="en-US" w:eastAsia="zh-CN"/>
              </w:rPr>
              <w:t>1</w:t>
            </w:r>
          </w:p>
        </w:tc>
        <w:tc>
          <w:tcPr>
            <w:tcW w:w="885" w:type="dxa"/>
            <w:gridSpan w:val="2"/>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农业废弃物综合利用率：</w:t>
            </w:r>
          </w:p>
        </w:tc>
        <w:tc>
          <w:tcPr>
            <w:tcW w:w="2209"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秸秆综合利用率</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≥90</w:t>
            </w:r>
          </w:p>
        </w:tc>
        <w:tc>
          <w:tcPr>
            <w:tcW w:w="1477"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92.87</w:t>
            </w:r>
          </w:p>
        </w:tc>
        <w:tc>
          <w:tcPr>
            <w:tcW w:w="795"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95</w:t>
            </w:r>
          </w:p>
        </w:tc>
        <w:tc>
          <w:tcPr>
            <w:tcW w:w="1802"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95</w:t>
            </w:r>
          </w:p>
        </w:tc>
        <w:tc>
          <w:tcPr>
            <w:tcW w:w="831"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vMerge w:val="continue"/>
            <w:tcBorders>
              <w:tl2br w:val="nil"/>
              <w:tr2bl w:val="nil"/>
            </w:tcBorders>
            <w:noWrap w:val="0"/>
            <w:vAlign w:val="center"/>
          </w:tcPr>
          <w:p>
            <w:pPr>
              <w:pStyle w:val="27"/>
              <w:bidi w:val="0"/>
              <w:rPr>
                <w:rFonts w:hint="default"/>
                <w:color w:val="auto"/>
              </w:rPr>
            </w:pPr>
          </w:p>
        </w:tc>
        <w:tc>
          <w:tcPr>
            <w:tcW w:w="885" w:type="dxa"/>
            <w:gridSpan w:val="2"/>
            <w:vMerge w:val="continue"/>
            <w:tcBorders>
              <w:tl2br w:val="nil"/>
              <w:tr2bl w:val="nil"/>
            </w:tcBorders>
            <w:noWrap w:val="0"/>
            <w:vAlign w:val="center"/>
          </w:tcPr>
          <w:p>
            <w:pPr>
              <w:pStyle w:val="27"/>
              <w:bidi w:val="0"/>
              <w:rPr>
                <w:rFonts w:hint="default"/>
                <w:color w:val="auto"/>
              </w:rPr>
            </w:pPr>
          </w:p>
        </w:tc>
        <w:tc>
          <w:tcPr>
            <w:tcW w:w="2209"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畜禽粪污综合利用率</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lang w:val="en-US"/>
              </w:rPr>
            </w:pPr>
            <w:r>
              <w:rPr>
                <w:rFonts w:hint="default"/>
                <w:color w:val="auto"/>
                <w:lang w:val="en-US" w:eastAsia="zh-CN"/>
              </w:rPr>
              <w:t>≥</w:t>
            </w:r>
            <w:r>
              <w:rPr>
                <w:rFonts w:hint="eastAsia"/>
                <w:color w:val="auto"/>
                <w:lang w:val="en-US" w:eastAsia="zh-CN"/>
              </w:rPr>
              <w:t>75</w:t>
            </w:r>
          </w:p>
        </w:tc>
        <w:tc>
          <w:tcPr>
            <w:tcW w:w="1477"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94.05</w:t>
            </w:r>
          </w:p>
        </w:tc>
        <w:tc>
          <w:tcPr>
            <w:tcW w:w="795" w:type="dxa"/>
            <w:vMerge w:val="continue"/>
            <w:tcBorders>
              <w:tl2br w:val="nil"/>
              <w:tr2bl w:val="nil"/>
            </w:tcBorders>
            <w:noWrap w:val="0"/>
            <w:vAlign w:val="center"/>
          </w:tcPr>
          <w:p>
            <w:pPr>
              <w:pStyle w:val="27"/>
              <w:bidi w:val="0"/>
              <w:rPr>
                <w:rFonts w:hint="default"/>
                <w:color w:val="auto"/>
                <w:lang w:val="en-US" w:eastAsia="zh-CN"/>
              </w:rPr>
            </w:pPr>
          </w:p>
        </w:tc>
        <w:tc>
          <w:tcPr>
            <w:tcW w:w="1720"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95</w:t>
            </w:r>
          </w:p>
        </w:tc>
        <w:tc>
          <w:tcPr>
            <w:tcW w:w="1802"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95</w:t>
            </w:r>
          </w:p>
        </w:tc>
        <w:tc>
          <w:tcPr>
            <w:tcW w:w="831" w:type="dxa"/>
            <w:vMerge w:val="continue"/>
            <w:tcBorders>
              <w:tl2br w:val="nil"/>
              <w:tr2bl w:val="nil"/>
            </w:tcBorders>
            <w:noWrap w:val="0"/>
            <w:vAlign w:val="center"/>
          </w:tcPr>
          <w:p>
            <w:pPr>
              <w:pStyle w:val="27"/>
              <w:bidi w:val="0"/>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vMerge w:val="continue"/>
            <w:tcBorders>
              <w:tl2br w:val="nil"/>
              <w:tr2bl w:val="nil"/>
            </w:tcBorders>
            <w:noWrap w:val="0"/>
            <w:vAlign w:val="center"/>
          </w:tcPr>
          <w:p>
            <w:pPr>
              <w:pStyle w:val="27"/>
              <w:bidi w:val="0"/>
              <w:rPr>
                <w:rFonts w:hint="default"/>
                <w:color w:val="auto"/>
              </w:rPr>
            </w:pPr>
          </w:p>
        </w:tc>
        <w:tc>
          <w:tcPr>
            <w:tcW w:w="885" w:type="dxa"/>
            <w:gridSpan w:val="2"/>
            <w:vMerge w:val="continue"/>
            <w:tcBorders>
              <w:tl2br w:val="nil"/>
              <w:tr2bl w:val="nil"/>
            </w:tcBorders>
            <w:noWrap w:val="0"/>
            <w:vAlign w:val="center"/>
          </w:tcPr>
          <w:p>
            <w:pPr>
              <w:pStyle w:val="27"/>
              <w:bidi w:val="0"/>
              <w:rPr>
                <w:rFonts w:hint="default"/>
                <w:color w:val="auto"/>
              </w:rPr>
            </w:pPr>
          </w:p>
        </w:tc>
        <w:tc>
          <w:tcPr>
            <w:tcW w:w="2209"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农膜回收利用率</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≥80</w:t>
            </w:r>
          </w:p>
        </w:tc>
        <w:tc>
          <w:tcPr>
            <w:tcW w:w="1477"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80</w:t>
            </w:r>
          </w:p>
        </w:tc>
        <w:tc>
          <w:tcPr>
            <w:tcW w:w="795" w:type="dxa"/>
            <w:vMerge w:val="continue"/>
            <w:tcBorders>
              <w:tl2br w:val="nil"/>
              <w:tr2bl w:val="nil"/>
            </w:tcBorders>
            <w:noWrap w:val="0"/>
            <w:vAlign w:val="center"/>
          </w:tcPr>
          <w:p>
            <w:pPr>
              <w:pStyle w:val="27"/>
              <w:bidi w:val="0"/>
              <w:rPr>
                <w:rFonts w:hint="default"/>
                <w:color w:val="auto"/>
              </w:rPr>
            </w:pP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≥80</w:t>
            </w:r>
          </w:p>
        </w:tc>
        <w:tc>
          <w:tcPr>
            <w:tcW w:w="1802" w:type="dxa"/>
            <w:tcBorders>
              <w:tl2br w:val="nil"/>
              <w:tr2bl w:val="nil"/>
            </w:tcBorders>
            <w:noWrap w:val="0"/>
            <w:vAlign w:val="center"/>
          </w:tcPr>
          <w:p>
            <w:pPr>
              <w:pStyle w:val="27"/>
              <w:bidi w:val="0"/>
              <w:rPr>
                <w:rFonts w:hint="default"/>
                <w:color w:val="auto"/>
                <w:lang w:val="en-US"/>
              </w:rPr>
            </w:pPr>
            <w:r>
              <w:rPr>
                <w:rFonts w:hint="default"/>
                <w:color w:val="auto"/>
                <w:lang w:val="en-US" w:eastAsia="zh-CN"/>
              </w:rPr>
              <w:t>≥80</w:t>
            </w:r>
          </w:p>
        </w:tc>
        <w:tc>
          <w:tcPr>
            <w:tcW w:w="831" w:type="dxa"/>
            <w:vMerge w:val="continue"/>
            <w:tcBorders>
              <w:tl2br w:val="nil"/>
              <w:tr2bl w:val="nil"/>
            </w:tcBorders>
            <w:noWrap w:val="0"/>
            <w:vAlign w:val="center"/>
          </w:tcPr>
          <w:p>
            <w:pPr>
              <w:pStyle w:val="27"/>
              <w:bidi w:val="0"/>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rPr>
            </w:pPr>
            <w:r>
              <w:rPr>
                <w:rFonts w:hint="default"/>
                <w:color w:val="auto"/>
                <w:lang w:val="en-US" w:eastAsia="zh-CN"/>
              </w:rPr>
              <w:t>2</w:t>
            </w:r>
            <w:r>
              <w:rPr>
                <w:rFonts w:hint="eastAsia"/>
                <w:color w:val="auto"/>
                <w:lang w:val="en-US" w:eastAsia="zh-CN"/>
              </w:rPr>
              <w:t>2</w:t>
            </w:r>
          </w:p>
        </w:tc>
        <w:tc>
          <w:tcPr>
            <w:tcW w:w="3094" w:type="dxa"/>
            <w:gridSpan w:val="3"/>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一般工业固体废物综合利用率提高幅度：</w:t>
            </w:r>
          </w:p>
          <w:p>
            <w:pPr>
              <w:pStyle w:val="27"/>
              <w:bidi w:val="0"/>
              <w:rPr>
                <w:rFonts w:hint="default"/>
                <w:color w:val="auto"/>
                <w:lang w:val="en-US" w:eastAsia="zh-CN"/>
              </w:rPr>
            </w:pPr>
            <w:r>
              <w:rPr>
                <w:rFonts w:hint="default"/>
                <w:color w:val="auto"/>
                <w:lang w:val="en-US" w:eastAsia="zh-CN"/>
              </w:rPr>
              <w:t>（1）综合利用率≤60%的地区</w:t>
            </w:r>
          </w:p>
          <w:p>
            <w:pPr>
              <w:pStyle w:val="27"/>
              <w:bidi w:val="0"/>
              <w:rPr>
                <w:rFonts w:hint="default"/>
                <w:color w:val="auto"/>
              </w:rPr>
            </w:pPr>
            <w:r>
              <w:rPr>
                <w:rFonts w:hint="default"/>
                <w:color w:val="auto"/>
                <w:lang w:val="en-US" w:eastAsia="zh-CN"/>
              </w:rPr>
              <w:t>（2）综合利用率＞60%的地区</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（1）≥2</w:t>
            </w:r>
          </w:p>
          <w:p>
            <w:pPr>
              <w:pStyle w:val="27"/>
              <w:bidi w:val="0"/>
              <w:rPr>
                <w:rFonts w:hint="default"/>
                <w:color w:val="auto"/>
              </w:rPr>
            </w:pPr>
            <w:r>
              <w:rPr>
                <w:rFonts w:hint="default"/>
                <w:color w:val="auto"/>
                <w:lang w:val="en-US" w:eastAsia="zh-CN"/>
              </w:rPr>
              <w:t>（2）保持稳定或持续改善</w:t>
            </w:r>
          </w:p>
        </w:tc>
        <w:tc>
          <w:tcPr>
            <w:tcW w:w="1477"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保持稳定或持续改善</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保持稳定或持续改善</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保持稳定或持续改善</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生态生活</w:t>
            </w:r>
          </w:p>
        </w:tc>
        <w:tc>
          <w:tcPr>
            <w:tcW w:w="782"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（八）人居环境改善</w:t>
            </w:r>
          </w:p>
        </w:tc>
        <w:tc>
          <w:tcPr>
            <w:tcW w:w="341" w:type="dxa"/>
            <w:tcBorders>
              <w:tl2br w:val="nil"/>
              <w:tr2bl w:val="nil"/>
            </w:tcBorders>
            <w:noWrap w:val="0"/>
            <w:vAlign w:val="center"/>
          </w:tcPr>
          <w:p>
            <w:pPr>
              <w:pStyle w:val="27"/>
              <w:bidi w:val="0"/>
              <w:rPr>
                <w:rFonts w:hint="default"/>
                <w:color w:val="auto"/>
              </w:rPr>
            </w:pPr>
            <w:r>
              <w:rPr>
                <w:rFonts w:hint="default"/>
                <w:color w:val="auto"/>
                <w:lang w:val="en-US" w:eastAsia="zh-CN"/>
              </w:rPr>
              <w:t>2</w:t>
            </w:r>
            <w:r>
              <w:rPr>
                <w:rFonts w:hint="eastAsia"/>
                <w:color w:val="auto"/>
                <w:lang w:val="en-US" w:eastAsia="zh-CN"/>
              </w:rPr>
              <w:t>3</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集中式饮用水水源地水质优良比例</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1477"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100</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rPr>
            </w:pPr>
            <w:r>
              <w:rPr>
                <w:rFonts w:hint="default"/>
                <w:color w:val="auto"/>
                <w:lang w:val="en-US" w:eastAsia="zh-CN"/>
              </w:rPr>
              <w:t>2</w:t>
            </w:r>
            <w:r>
              <w:rPr>
                <w:rFonts w:hint="eastAsia"/>
                <w:color w:val="auto"/>
                <w:lang w:val="en-US" w:eastAsia="zh-CN"/>
              </w:rPr>
              <w:t>4</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村镇饮用水卫生合格率</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1477"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25</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城镇污水处理率</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≥85</w:t>
            </w:r>
          </w:p>
        </w:tc>
        <w:tc>
          <w:tcPr>
            <w:tcW w:w="1477"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95.3</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96</w:t>
            </w:r>
          </w:p>
        </w:tc>
        <w:tc>
          <w:tcPr>
            <w:tcW w:w="1802"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96</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26</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农村生活污水治理率</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≥50</w:t>
            </w:r>
          </w:p>
        </w:tc>
        <w:tc>
          <w:tcPr>
            <w:tcW w:w="1477"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37</w:t>
            </w:r>
          </w:p>
        </w:tc>
        <w:tc>
          <w:tcPr>
            <w:tcW w:w="795"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不</w:t>
            </w: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≥50</w:t>
            </w:r>
          </w:p>
        </w:tc>
        <w:tc>
          <w:tcPr>
            <w:tcW w:w="1802"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w:t>
            </w:r>
            <w:r>
              <w:rPr>
                <w:rFonts w:hint="eastAsia"/>
                <w:color w:val="auto"/>
                <w:lang w:val="en-US" w:eastAsia="zh-CN"/>
              </w:rPr>
              <w:t>6</w:t>
            </w:r>
            <w:r>
              <w:rPr>
                <w:rFonts w:hint="default"/>
                <w:color w:val="auto"/>
                <w:lang w:val="en-US" w:eastAsia="zh-CN"/>
              </w:rPr>
              <w:t>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27</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城镇生活垃圾无害化处理率</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≥80</w:t>
            </w:r>
          </w:p>
        </w:tc>
        <w:tc>
          <w:tcPr>
            <w:tcW w:w="1477"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100</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100</w:t>
            </w:r>
          </w:p>
        </w:tc>
        <w:tc>
          <w:tcPr>
            <w:tcW w:w="1802"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100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28</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农村生活垃圾无害化处理村占比</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≥80</w:t>
            </w:r>
          </w:p>
        </w:tc>
        <w:tc>
          <w:tcPr>
            <w:tcW w:w="1477"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100</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100</w:t>
            </w:r>
          </w:p>
        </w:tc>
        <w:tc>
          <w:tcPr>
            <w:tcW w:w="1802"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100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29</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农村无害化卫生厕所普及率</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完成上级规定的目标任务</w:t>
            </w:r>
          </w:p>
        </w:tc>
        <w:tc>
          <w:tcPr>
            <w:tcW w:w="1477"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86.3</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完成上级规定的目标任务</w:t>
            </w:r>
          </w:p>
        </w:tc>
        <w:tc>
          <w:tcPr>
            <w:tcW w:w="1802"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完成上级规定的目标任务</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（九）生活方式绿色化</w:t>
            </w:r>
          </w:p>
        </w:tc>
        <w:tc>
          <w:tcPr>
            <w:tcW w:w="341"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30</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城镇新建绿色建筑比例</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50</w:t>
            </w:r>
          </w:p>
        </w:tc>
        <w:tc>
          <w:tcPr>
            <w:tcW w:w="1477"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85</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100</w:t>
            </w:r>
          </w:p>
        </w:tc>
        <w:tc>
          <w:tcPr>
            <w:tcW w:w="1802"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100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rPr>
            </w:pPr>
            <w:r>
              <w:rPr>
                <w:rFonts w:hint="default"/>
                <w:color w:val="auto"/>
                <w:lang w:val="en-US" w:eastAsia="zh-CN"/>
              </w:rPr>
              <w:t>3</w:t>
            </w:r>
            <w:r>
              <w:rPr>
                <w:rFonts w:hint="eastAsia"/>
                <w:color w:val="auto"/>
                <w:lang w:val="en-US" w:eastAsia="zh-CN"/>
              </w:rPr>
              <w:t>1</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城镇生活垃圾分类减量化行动</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实施</w:t>
            </w:r>
          </w:p>
        </w:tc>
        <w:tc>
          <w:tcPr>
            <w:tcW w:w="1477" w:type="dxa"/>
            <w:tcBorders>
              <w:tl2br w:val="nil"/>
              <w:tr2bl w:val="nil"/>
            </w:tcBorders>
            <w:noWrap w:val="0"/>
            <w:vAlign w:val="center"/>
          </w:tcPr>
          <w:p>
            <w:pPr>
              <w:pStyle w:val="27"/>
              <w:bidi w:val="0"/>
              <w:rPr>
                <w:rFonts w:hint="default"/>
                <w:color w:val="auto"/>
              </w:rPr>
            </w:pPr>
            <w:r>
              <w:rPr>
                <w:rFonts w:hint="default"/>
                <w:color w:val="auto"/>
                <w:lang w:val="en-US" w:eastAsia="zh-CN"/>
              </w:rPr>
              <w:t>实施</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实施</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实施</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rPr>
            </w:pPr>
            <w:r>
              <w:rPr>
                <w:rFonts w:hint="default"/>
                <w:color w:val="auto"/>
                <w:lang w:val="en-US" w:eastAsia="zh-CN"/>
              </w:rPr>
              <w:t>3</w:t>
            </w:r>
            <w:r>
              <w:rPr>
                <w:rFonts w:hint="eastAsia"/>
                <w:color w:val="auto"/>
                <w:lang w:val="en-US" w:eastAsia="zh-CN"/>
              </w:rPr>
              <w:t>2</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政府绿色采购比例</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≥80</w:t>
            </w:r>
          </w:p>
        </w:tc>
        <w:tc>
          <w:tcPr>
            <w:tcW w:w="1477" w:type="dxa"/>
            <w:tcBorders>
              <w:tl2br w:val="nil"/>
              <w:tr2bl w:val="nil"/>
            </w:tcBorders>
            <w:noWrap w:val="0"/>
            <w:vAlign w:val="center"/>
          </w:tcPr>
          <w:p>
            <w:pPr>
              <w:pStyle w:val="27"/>
              <w:bidi w:val="0"/>
              <w:rPr>
                <w:rFonts w:hint="default"/>
                <w:color w:val="auto"/>
                <w:lang w:val="en-US"/>
              </w:rPr>
            </w:pPr>
            <w:r>
              <w:rPr>
                <w:rFonts w:hint="default"/>
                <w:color w:val="auto"/>
                <w:lang w:val="en-US" w:eastAsia="zh-CN"/>
              </w:rPr>
              <w:t>100</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lang w:val="en-US"/>
              </w:rPr>
            </w:pPr>
            <w:r>
              <w:rPr>
                <w:rFonts w:hint="default"/>
                <w:color w:val="auto"/>
                <w:lang w:val="en-US" w:eastAsia="zh-CN"/>
              </w:rPr>
              <w:t>100</w:t>
            </w:r>
          </w:p>
        </w:tc>
        <w:tc>
          <w:tcPr>
            <w:tcW w:w="1802" w:type="dxa"/>
            <w:tcBorders>
              <w:tl2br w:val="nil"/>
              <w:tr2bl w:val="nil"/>
            </w:tcBorders>
            <w:noWrap w:val="0"/>
            <w:vAlign w:val="center"/>
          </w:tcPr>
          <w:p>
            <w:pPr>
              <w:pStyle w:val="27"/>
              <w:bidi w:val="0"/>
              <w:rPr>
                <w:rFonts w:hint="default"/>
                <w:color w:val="auto"/>
                <w:lang w:val="en-US"/>
              </w:rPr>
            </w:pPr>
            <w:r>
              <w:rPr>
                <w:rFonts w:hint="default"/>
                <w:color w:val="auto"/>
                <w:lang w:val="en-US" w:eastAsia="zh-CN"/>
              </w:rPr>
              <w:t>100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生态文化</w:t>
            </w:r>
          </w:p>
        </w:tc>
        <w:tc>
          <w:tcPr>
            <w:tcW w:w="782" w:type="dxa"/>
            <w:vMerge w:val="restart"/>
            <w:tcBorders>
              <w:tl2br w:val="nil"/>
              <w:tr2bl w:val="nil"/>
            </w:tcBorders>
            <w:noWrap w:val="0"/>
            <w:vAlign w:val="center"/>
          </w:tcPr>
          <w:p>
            <w:pPr>
              <w:pStyle w:val="27"/>
              <w:bidi w:val="0"/>
              <w:rPr>
                <w:rFonts w:hint="default"/>
                <w:color w:val="auto"/>
              </w:rPr>
            </w:pPr>
            <w:r>
              <w:rPr>
                <w:rFonts w:hint="default"/>
                <w:color w:val="auto"/>
                <w:lang w:val="en-US" w:eastAsia="zh-CN"/>
              </w:rPr>
              <w:t>（十）观念意识普及</w:t>
            </w:r>
          </w:p>
        </w:tc>
        <w:tc>
          <w:tcPr>
            <w:tcW w:w="341"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33</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党政领导干部参加生态文明培训的人数比例</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1477"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100</w:t>
            </w:r>
          </w:p>
        </w:tc>
        <w:tc>
          <w:tcPr>
            <w:tcW w:w="795" w:type="dxa"/>
            <w:tcBorders>
              <w:tl2br w:val="nil"/>
              <w:tr2bl w:val="nil"/>
            </w:tcBorders>
            <w:noWrap w:val="0"/>
            <w:vAlign w:val="center"/>
          </w:tcPr>
          <w:p>
            <w:pPr>
              <w:pStyle w:val="27"/>
              <w:bidi w:val="0"/>
              <w:rPr>
                <w:rFonts w:hint="default"/>
                <w:color w:val="auto"/>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1802" w:type="dxa"/>
            <w:tcBorders>
              <w:tl2br w:val="nil"/>
              <w:tr2bl w:val="nil"/>
            </w:tcBorders>
            <w:noWrap w:val="0"/>
            <w:vAlign w:val="center"/>
          </w:tcPr>
          <w:p>
            <w:pPr>
              <w:pStyle w:val="27"/>
              <w:bidi w:val="0"/>
              <w:rPr>
                <w:rFonts w:hint="default"/>
                <w:color w:val="auto"/>
              </w:rPr>
            </w:pPr>
            <w:r>
              <w:rPr>
                <w:rFonts w:hint="default"/>
                <w:color w:val="auto"/>
                <w:lang w:val="en-US" w:eastAsia="zh-CN"/>
              </w:rPr>
              <w:t>100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lang w:val="en-US"/>
              </w:rPr>
            </w:pPr>
            <w:r>
              <w:rPr>
                <w:rFonts w:hint="eastAsia"/>
                <w:color w:val="auto"/>
                <w:lang w:val="en-US" w:eastAsia="zh-CN"/>
              </w:rPr>
              <w:t>34</w:t>
            </w:r>
          </w:p>
        </w:tc>
        <w:tc>
          <w:tcPr>
            <w:tcW w:w="3094" w:type="dxa"/>
            <w:gridSpan w:val="3"/>
            <w:tcBorders>
              <w:tl2br w:val="nil"/>
              <w:tr2bl w:val="nil"/>
            </w:tcBorders>
            <w:noWrap w:val="0"/>
            <w:vAlign w:val="center"/>
          </w:tcPr>
          <w:p>
            <w:pPr>
              <w:pStyle w:val="27"/>
              <w:bidi w:val="0"/>
              <w:rPr>
                <w:rFonts w:hint="default"/>
                <w:color w:val="auto"/>
              </w:rPr>
            </w:pPr>
            <w:r>
              <w:rPr>
                <w:rFonts w:hint="default"/>
                <w:color w:val="auto"/>
                <w:lang w:val="en-US" w:eastAsia="zh-CN"/>
              </w:rPr>
              <w:t>公众对生态文明建设的满意度</w:t>
            </w:r>
          </w:p>
        </w:tc>
        <w:tc>
          <w:tcPr>
            <w:tcW w:w="878" w:type="dxa"/>
            <w:tcBorders>
              <w:tl2br w:val="nil"/>
              <w:tr2bl w:val="nil"/>
            </w:tcBorders>
            <w:noWrap w:val="0"/>
            <w:vAlign w:val="center"/>
          </w:tcPr>
          <w:p>
            <w:pPr>
              <w:pStyle w:val="27"/>
              <w:bidi w:val="0"/>
              <w:rPr>
                <w:rFonts w:hint="default"/>
                <w:color w:val="auto"/>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color w:val="auto"/>
              </w:rPr>
            </w:pPr>
            <w:r>
              <w:rPr>
                <w:rFonts w:hint="default"/>
                <w:color w:val="auto"/>
                <w:lang w:val="en-US" w:eastAsia="zh-CN"/>
              </w:rPr>
              <w:t>≥80</w:t>
            </w:r>
          </w:p>
        </w:tc>
        <w:tc>
          <w:tcPr>
            <w:tcW w:w="1477"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80</w:t>
            </w:r>
          </w:p>
        </w:tc>
        <w:tc>
          <w:tcPr>
            <w:tcW w:w="795"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≥8</w:t>
            </w:r>
            <w:r>
              <w:rPr>
                <w:rFonts w:hint="eastAsia"/>
                <w:color w:val="auto"/>
                <w:lang w:val="en-US" w:eastAsia="zh-CN"/>
              </w:rPr>
              <w:t>5</w:t>
            </w:r>
          </w:p>
        </w:tc>
        <w:tc>
          <w:tcPr>
            <w:tcW w:w="1802"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w:t>
            </w:r>
            <w:r>
              <w:rPr>
                <w:rFonts w:hint="eastAsia"/>
                <w:color w:val="auto"/>
                <w:lang w:val="en-US" w:eastAsia="zh-CN"/>
              </w:rPr>
              <w:t>90</w:t>
            </w:r>
          </w:p>
        </w:tc>
        <w:tc>
          <w:tcPr>
            <w:tcW w:w="831" w:type="dxa"/>
            <w:tcBorders>
              <w:tl2br w:val="nil"/>
              <w:tr2bl w:val="nil"/>
            </w:tcBorders>
            <w:noWrap w:val="0"/>
            <w:vAlign w:val="center"/>
          </w:tcPr>
          <w:p>
            <w:pPr>
              <w:pStyle w:val="27"/>
              <w:bidi w:val="0"/>
              <w:rPr>
                <w:rFonts w:hint="default"/>
                <w:color w:val="auto"/>
              </w:rPr>
            </w:pPr>
            <w:r>
              <w:rPr>
                <w:rFonts w:hint="default"/>
                <w:color w:val="auto"/>
                <w:lang w:val="en-US" w:eastAsia="zh-CN"/>
              </w:rPr>
              <w:t>参考性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34" w:type="dxa"/>
            <w:bottom w:w="0" w:type="dxa"/>
            <w:right w:w="34" w:type="dxa"/>
          </w:tblCellMar>
        </w:tblPrEx>
        <w:trPr>
          <w:trHeight w:val="510" w:hRule="atLeast"/>
          <w:jc w:val="center"/>
        </w:trPr>
        <w:tc>
          <w:tcPr>
            <w:tcW w:w="488" w:type="dxa"/>
            <w:vMerge w:val="continue"/>
            <w:tcBorders>
              <w:tl2br w:val="nil"/>
              <w:tr2bl w:val="nil"/>
            </w:tcBorders>
            <w:noWrap w:val="0"/>
            <w:vAlign w:val="center"/>
          </w:tcPr>
          <w:p>
            <w:pPr>
              <w:pStyle w:val="27"/>
              <w:bidi w:val="0"/>
              <w:rPr>
                <w:rFonts w:hint="default"/>
                <w:color w:val="auto"/>
              </w:rPr>
            </w:pPr>
          </w:p>
        </w:tc>
        <w:tc>
          <w:tcPr>
            <w:tcW w:w="782" w:type="dxa"/>
            <w:vMerge w:val="continue"/>
            <w:tcBorders>
              <w:tl2br w:val="nil"/>
              <w:tr2bl w:val="nil"/>
            </w:tcBorders>
            <w:noWrap w:val="0"/>
            <w:vAlign w:val="center"/>
          </w:tcPr>
          <w:p>
            <w:pPr>
              <w:pStyle w:val="27"/>
              <w:bidi w:val="0"/>
              <w:rPr>
                <w:rFonts w:hint="default"/>
                <w:color w:val="auto"/>
              </w:rPr>
            </w:pPr>
          </w:p>
        </w:tc>
        <w:tc>
          <w:tcPr>
            <w:tcW w:w="341" w:type="dxa"/>
            <w:tcBorders>
              <w:tl2br w:val="nil"/>
              <w:tr2bl w:val="nil"/>
            </w:tcBorders>
            <w:noWrap w:val="0"/>
            <w:vAlign w:val="center"/>
          </w:tcPr>
          <w:p>
            <w:pPr>
              <w:pStyle w:val="27"/>
              <w:bidi w:val="0"/>
              <w:rPr>
                <w:rFonts w:hint="default"/>
                <w:color w:val="auto"/>
                <w:lang w:val="en-US" w:eastAsia="zh-CN"/>
              </w:rPr>
            </w:pPr>
            <w:r>
              <w:rPr>
                <w:rFonts w:hint="eastAsia"/>
                <w:color w:val="auto"/>
                <w:lang w:val="en-US" w:eastAsia="zh-CN"/>
              </w:rPr>
              <w:t>35</w:t>
            </w:r>
          </w:p>
        </w:tc>
        <w:tc>
          <w:tcPr>
            <w:tcW w:w="3094" w:type="dxa"/>
            <w:gridSpan w:val="3"/>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公众对生态文明建设的</w:t>
            </w:r>
            <w:r>
              <w:rPr>
                <w:rFonts w:hint="eastAsia"/>
                <w:color w:val="auto"/>
                <w:lang w:val="en-US" w:eastAsia="zh-CN"/>
              </w:rPr>
              <w:t>参与度</w:t>
            </w:r>
          </w:p>
        </w:tc>
        <w:tc>
          <w:tcPr>
            <w:tcW w:w="878" w:type="dxa"/>
            <w:tcBorders>
              <w:tl2br w:val="nil"/>
              <w:tr2bl w:val="nil"/>
            </w:tcBorders>
            <w:noWrap w:val="0"/>
            <w:vAlign w:val="center"/>
          </w:tcPr>
          <w:p>
            <w:pPr>
              <w:pStyle w:val="27"/>
              <w:bidi w:val="0"/>
              <w:rPr>
                <w:rFonts w:hint="default"/>
                <w:color w:val="auto"/>
                <w:lang w:val="en-US" w:eastAsia="zh-CN"/>
              </w:rPr>
            </w:pPr>
            <w:r>
              <w:rPr>
                <w:rFonts w:hint="default"/>
                <w:color w:val="auto"/>
                <w:lang w:val="en-US" w:eastAsia="zh-CN"/>
              </w:rPr>
              <w:t>%</w:t>
            </w:r>
          </w:p>
        </w:tc>
        <w:tc>
          <w:tcPr>
            <w:tcW w:w="1818"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≥80</w:t>
            </w:r>
          </w:p>
        </w:tc>
        <w:tc>
          <w:tcPr>
            <w:tcW w:w="1477" w:type="dxa"/>
            <w:tcBorders>
              <w:tl2br w:val="nil"/>
              <w:tr2bl w:val="nil"/>
            </w:tcBorders>
            <w:noWrap w:val="0"/>
            <w:vAlign w:val="center"/>
          </w:tcPr>
          <w:p>
            <w:pPr>
              <w:pStyle w:val="27"/>
              <w:bidi w:val="0"/>
              <w:rPr>
                <w:rFonts w:hint="eastAsia" w:ascii="Times New Roman" w:hAnsi="Times New Roman" w:eastAsia="仿宋" w:cs="Times New Roman"/>
                <w:color w:val="auto"/>
                <w:kern w:val="0"/>
                <w:sz w:val="24"/>
                <w:szCs w:val="24"/>
                <w:lang w:val="en-US" w:eastAsia="zh-CN" w:bidi="ar"/>
              </w:rPr>
            </w:pPr>
            <w:r>
              <w:rPr>
                <w:rFonts w:hint="eastAsia"/>
                <w:color w:val="auto"/>
                <w:lang w:val="en-US" w:eastAsia="zh-CN"/>
              </w:rPr>
              <w:t>80</w:t>
            </w:r>
          </w:p>
        </w:tc>
        <w:tc>
          <w:tcPr>
            <w:tcW w:w="795"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达标</w:t>
            </w:r>
          </w:p>
        </w:tc>
        <w:tc>
          <w:tcPr>
            <w:tcW w:w="1720"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≥8</w:t>
            </w:r>
            <w:r>
              <w:rPr>
                <w:rFonts w:hint="eastAsia"/>
                <w:color w:val="auto"/>
                <w:lang w:val="en-US" w:eastAsia="zh-CN"/>
              </w:rPr>
              <w:t>5</w:t>
            </w:r>
          </w:p>
        </w:tc>
        <w:tc>
          <w:tcPr>
            <w:tcW w:w="1802"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w:t>
            </w:r>
            <w:r>
              <w:rPr>
                <w:rFonts w:hint="eastAsia"/>
                <w:color w:val="auto"/>
                <w:lang w:val="en-US" w:eastAsia="zh-CN"/>
              </w:rPr>
              <w:t>90</w:t>
            </w:r>
          </w:p>
        </w:tc>
        <w:tc>
          <w:tcPr>
            <w:tcW w:w="831" w:type="dxa"/>
            <w:tcBorders>
              <w:tl2br w:val="nil"/>
              <w:tr2bl w:val="nil"/>
            </w:tcBorders>
            <w:noWrap w:val="0"/>
            <w:vAlign w:val="center"/>
          </w:tcPr>
          <w:p>
            <w:pPr>
              <w:pStyle w:val="27"/>
              <w:bidi w:val="0"/>
              <w:rPr>
                <w:rFonts w:hint="default" w:ascii="Times New Roman" w:hAnsi="Times New Roman" w:eastAsia="仿宋" w:cs="Times New Roman"/>
                <w:color w:val="auto"/>
                <w:kern w:val="0"/>
                <w:sz w:val="24"/>
                <w:szCs w:val="24"/>
                <w:lang w:val="en-US" w:eastAsia="zh-CN" w:bidi="ar"/>
              </w:rPr>
            </w:pPr>
            <w:r>
              <w:rPr>
                <w:rFonts w:hint="default"/>
                <w:color w:val="auto"/>
                <w:lang w:val="en-US" w:eastAsia="zh-CN"/>
              </w:rPr>
              <w:t>参考性</w:t>
            </w:r>
          </w:p>
        </w:tc>
      </w:tr>
    </w:tbl>
    <w:p>
      <w:pPr>
        <w:pStyle w:val="21"/>
        <w:rPr>
          <w:rFonts w:hint="eastAsia" w:ascii="Times New Roman" w:hAnsi="Times New Roman" w:eastAsia="仿宋" w:cs="Times New Roman"/>
          <w:b/>
          <w:bCs/>
          <w:color w:val="auto"/>
          <w:kern w:val="0"/>
          <w:sz w:val="24"/>
          <w:lang w:bidi="ar"/>
        </w:rPr>
        <w:sectPr>
          <w:pgSz w:w="16838" w:h="11906" w:orient="landscape"/>
          <w:pgMar w:top="1803" w:right="1440" w:bottom="1803" w:left="1440" w:header="851" w:footer="992" w:gutter="0"/>
          <w:pgNumType w:fmt="numberInDash"/>
          <w:cols w:space="720" w:num="1"/>
          <w:rtlGutter w:val="0"/>
          <w:docGrid w:type="lines" w:linePitch="319" w:charSpace="0"/>
        </w:sectPr>
      </w:pPr>
      <w:r>
        <w:rPr>
          <w:rFonts w:hint="eastAsia"/>
          <w:color w:val="auto"/>
          <w:sz w:val="24"/>
          <w:szCs w:val="24"/>
          <w:lang w:val="en-US" w:eastAsia="zh-CN"/>
        </w:rPr>
        <w:t>注：因部分统计数据暂未更新，指标9、20、21</w:t>
      </w:r>
      <w:r>
        <w:rPr>
          <w:rFonts w:hint="eastAsia" w:ascii="Times New Roman" w:hAnsi="Times New Roman" w:eastAsia="仿宋" w:cs="Times New Roman"/>
          <w:color w:val="auto"/>
          <w:kern w:val="0"/>
          <w:sz w:val="24"/>
          <w:szCs w:val="24"/>
          <w:lang w:val="en-US" w:eastAsia="zh-CN" w:bidi="ar"/>
        </w:rPr>
        <w:t>（秸秆综合利用率）</w:t>
      </w:r>
      <w:r>
        <w:rPr>
          <w:rFonts w:hint="eastAsia"/>
          <w:color w:val="auto"/>
          <w:sz w:val="24"/>
          <w:szCs w:val="24"/>
          <w:lang w:val="en-US" w:eastAsia="zh-CN"/>
        </w:rPr>
        <w:t>采用2021年数据。</w:t>
      </w:r>
    </w:p>
    <w:p>
      <w:pPr>
        <w:pStyle w:val="23"/>
        <w:keepNext w:val="0"/>
        <w:keepLines w:val="0"/>
        <w:pageBreakBefore w:val="0"/>
        <w:widowControl w:val="0"/>
        <w:numPr>
          <w:ilvl w:val="1"/>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宋体"/>
          <w:color w:val="auto"/>
          <w:lang w:val="en-US" w:eastAsia="zh-CN"/>
        </w:rPr>
      </w:pPr>
      <w:bookmarkStart w:id="165" w:name="_Toc78273022"/>
      <w:bookmarkStart w:id="166" w:name="_Toc378"/>
      <w:bookmarkStart w:id="167" w:name="_Toc84948675"/>
      <w:bookmarkStart w:id="168" w:name="_Toc132363088"/>
      <w:bookmarkStart w:id="169" w:name="_Toc8371"/>
      <w:bookmarkStart w:id="170" w:name="_Toc24147"/>
      <w:bookmarkStart w:id="171" w:name="_Toc1754"/>
      <w:r>
        <w:rPr>
          <w:rFonts w:hint="eastAsia" w:ascii="Times New Roman" w:hAnsi="Times New Roman" w:cs="宋体"/>
          <w:color w:val="auto"/>
          <w:lang w:val="en-US" w:eastAsia="zh-CN"/>
        </w:rPr>
        <w:t>2.可达性分析</w:t>
      </w:r>
      <w:bookmarkEnd w:id="165"/>
      <w:bookmarkEnd w:id="166"/>
      <w:bookmarkEnd w:id="167"/>
      <w:bookmarkEnd w:id="168"/>
      <w:bookmarkEnd w:id="169"/>
      <w:bookmarkEnd w:id="170"/>
      <w:bookmarkEnd w:id="171"/>
    </w:p>
    <w:p>
      <w:pPr>
        <w:pStyle w:val="21"/>
        <w:bidi w:val="0"/>
        <w:rPr>
          <w:rFonts w:hint="eastAsia"/>
          <w:color w:val="auto"/>
          <w:lang w:val="en-US" w:eastAsia="zh-CN"/>
        </w:rPr>
      </w:pPr>
      <w:r>
        <w:rPr>
          <w:rFonts w:hint="default"/>
          <w:color w:val="auto"/>
          <w:lang w:val="en-US" w:eastAsia="zh-CN"/>
        </w:rPr>
        <w:t>对照《江西省省级生态市县建设指标</w:t>
      </w:r>
      <w:r>
        <w:rPr>
          <w:rFonts w:hint="eastAsia"/>
          <w:color w:val="auto"/>
          <w:lang w:val="en-US" w:eastAsia="zh-CN"/>
        </w:rPr>
        <w:t>》，红谷滩</w:t>
      </w:r>
      <w:r>
        <w:rPr>
          <w:rFonts w:hint="default"/>
          <w:color w:val="auto"/>
          <w:lang w:val="en-US" w:eastAsia="zh-CN"/>
        </w:rPr>
        <w:t>目前已达标指标</w:t>
      </w:r>
      <w:r>
        <w:rPr>
          <w:rFonts w:hint="eastAsia"/>
          <w:color w:val="auto"/>
          <w:lang w:val="en-US" w:eastAsia="zh-CN"/>
        </w:rPr>
        <w:t>22</w:t>
      </w:r>
      <w:r>
        <w:rPr>
          <w:rFonts w:hint="default"/>
          <w:color w:val="auto"/>
          <w:lang w:val="en-US" w:eastAsia="zh-CN"/>
        </w:rPr>
        <w:t>项</w:t>
      </w:r>
      <w:r>
        <w:rPr>
          <w:rFonts w:hint="eastAsia"/>
          <w:color w:val="auto"/>
          <w:lang w:val="en-US" w:eastAsia="zh-CN"/>
        </w:rPr>
        <w:t>；包括：生态制度指标3项［</w:t>
      </w:r>
      <w:r>
        <w:rPr>
          <w:rFonts w:hint="default"/>
          <w:color w:val="auto"/>
          <w:lang w:val="en-US" w:eastAsia="zh-CN"/>
        </w:rPr>
        <w:t>河</w:t>
      </w:r>
      <w:r>
        <w:rPr>
          <w:rFonts w:hint="eastAsia"/>
          <w:color w:val="auto"/>
          <w:lang w:val="en-US" w:eastAsia="zh-CN"/>
        </w:rPr>
        <w:t>（湖）</w:t>
      </w:r>
      <w:r>
        <w:rPr>
          <w:rFonts w:hint="default"/>
          <w:color w:val="auto"/>
          <w:lang w:val="en-US" w:eastAsia="zh-CN"/>
        </w:rPr>
        <w:t>长制</w:t>
      </w:r>
      <w:r>
        <w:rPr>
          <w:rFonts w:hint="eastAsia"/>
          <w:color w:val="auto"/>
          <w:lang w:val="en-US" w:eastAsia="zh-CN"/>
        </w:rPr>
        <w:t>、</w:t>
      </w:r>
      <w:r>
        <w:rPr>
          <w:rFonts w:hint="default"/>
          <w:color w:val="auto"/>
          <w:lang w:val="en-US" w:eastAsia="zh-CN"/>
        </w:rPr>
        <w:t>林长制</w:t>
      </w:r>
      <w:r>
        <w:rPr>
          <w:rFonts w:hint="eastAsia"/>
          <w:color w:val="auto"/>
          <w:lang w:val="en-US" w:eastAsia="zh-CN"/>
        </w:rPr>
        <w:t>，</w:t>
      </w:r>
      <w:r>
        <w:rPr>
          <w:rFonts w:hint="default"/>
          <w:color w:val="auto"/>
          <w:lang w:val="en-US" w:eastAsia="zh-CN"/>
        </w:rPr>
        <w:t>省级及以上生态乡镇比例</w:t>
      </w:r>
      <w:r>
        <w:rPr>
          <w:rFonts w:hint="eastAsia"/>
          <w:color w:val="auto"/>
          <w:lang w:val="en-US" w:eastAsia="zh-CN"/>
        </w:rPr>
        <w:t>，</w:t>
      </w:r>
      <w:r>
        <w:rPr>
          <w:rFonts w:hint="default"/>
          <w:color w:val="auto"/>
          <w:lang w:val="en-US" w:eastAsia="zh-CN"/>
        </w:rPr>
        <w:t>生态环境信息公开率</w:t>
      </w:r>
      <w:r>
        <w:rPr>
          <w:rFonts w:hint="eastAsia"/>
          <w:color w:val="auto"/>
          <w:lang w:val="en-US" w:eastAsia="zh-CN"/>
        </w:rPr>
        <w:t>）；</w:t>
      </w:r>
      <w:r>
        <w:rPr>
          <w:rFonts w:hint="default"/>
          <w:color w:val="auto"/>
          <w:lang w:val="en-US" w:eastAsia="zh-CN"/>
        </w:rPr>
        <w:t>生态安全</w:t>
      </w:r>
      <w:r>
        <w:rPr>
          <w:rFonts w:hint="eastAsia"/>
          <w:color w:val="auto"/>
          <w:lang w:val="en-US" w:eastAsia="zh-CN"/>
        </w:rPr>
        <w:t>指标指标7项（</w:t>
      </w:r>
      <w:r>
        <w:rPr>
          <w:rFonts w:hint="default"/>
          <w:color w:val="auto"/>
          <w:lang w:val="en-US" w:eastAsia="zh-CN"/>
        </w:rPr>
        <w:t>环境空气质量、</w:t>
      </w:r>
      <w:r>
        <w:rPr>
          <w:rFonts w:hint="eastAsia"/>
          <w:color w:val="auto"/>
          <w:lang w:val="en-US" w:eastAsia="zh-CN"/>
        </w:rPr>
        <w:t>地表</w:t>
      </w:r>
      <w:r>
        <w:rPr>
          <w:rFonts w:hint="default"/>
          <w:color w:val="auto"/>
          <w:lang w:val="en-US" w:eastAsia="zh-CN"/>
        </w:rPr>
        <w:t>水环境质量</w:t>
      </w:r>
      <w:r>
        <w:rPr>
          <w:rFonts w:hint="eastAsia"/>
          <w:color w:val="auto"/>
          <w:lang w:val="en-US" w:eastAsia="zh-CN"/>
        </w:rPr>
        <w:t>、土壤环境质量、生物多样性保护、</w:t>
      </w:r>
      <w:r>
        <w:rPr>
          <w:rFonts w:hint="default"/>
          <w:color w:val="auto"/>
          <w:lang w:val="en-US" w:eastAsia="zh-CN"/>
        </w:rPr>
        <w:t>生态恢复治理</w:t>
      </w:r>
      <w:r>
        <w:rPr>
          <w:rFonts w:hint="eastAsia"/>
          <w:color w:val="auto"/>
          <w:lang w:val="en-US" w:eastAsia="zh-CN"/>
        </w:rPr>
        <w:t>、</w:t>
      </w:r>
      <w:r>
        <w:rPr>
          <w:rFonts w:hint="default"/>
          <w:color w:val="auto"/>
          <w:lang w:val="en-US" w:eastAsia="zh-CN"/>
        </w:rPr>
        <w:t>危险废物利用处置率、突发生态环境事件应急管理机制</w:t>
      </w:r>
      <w:r>
        <w:rPr>
          <w:rFonts w:hint="eastAsia"/>
          <w:color w:val="auto"/>
          <w:lang w:val="en-US" w:eastAsia="zh-CN"/>
        </w:rPr>
        <w:t>）；</w:t>
      </w:r>
      <w:r>
        <w:rPr>
          <w:rFonts w:hint="default"/>
          <w:color w:val="auto"/>
          <w:lang w:val="en-US" w:eastAsia="zh-CN"/>
        </w:rPr>
        <w:t>生态空间</w:t>
      </w:r>
      <w:r>
        <w:rPr>
          <w:rFonts w:hint="eastAsia"/>
          <w:color w:val="auto"/>
          <w:lang w:val="en-US" w:eastAsia="zh-CN"/>
        </w:rPr>
        <w:t>指标2项（生态保护红线</w:t>
      </w:r>
      <w:r>
        <w:rPr>
          <w:rFonts w:hint="default"/>
          <w:color w:val="auto"/>
          <w:lang w:val="en-US" w:eastAsia="zh-CN"/>
        </w:rPr>
        <w:t>、</w:t>
      </w:r>
      <w:r>
        <w:rPr>
          <w:rFonts w:hint="eastAsia"/>
          <w:color w:val="auto"/>
          <w:lang w:val="en-US" w:eastAsia="zh-CN"/>
        </w:rPr>
        <w:t>自然保护地）；生态经济指标3项（</w:t>
      </w:r>
      <w:r>
        <w:rPr>
          <w:rFonts w:hint="default"/>
          <w:color w:val="auto"/>
          <w:lang w:val="en-US" w:eastAsia="zh-CN"/>
        </w:rPr>
        <w:t>单位地区生产总值能耗、单位地区生产总值用水量、农业废弃物综合利用率</w:t>
      </w:r>
      <w:r>
        <w:rPr>
          <w:rFonts w:hint="eastAsia"/>
          <w:color w:val="auto"/>
          <w:lang w:val="en-US" w:eastAsia="zh-CN"/>
        </w:rPr>
        <w:t>）；生态生活指标4项（</w:t>
      </w:r>
      <w:r>
        <w:rPr>
          <w:rFonts w:hint="default"/>
          <w:color w:val="auto"/>
          <w:lang w:val="en-US" w:eastAsia="zh-CN"/>
        </w:rPr>
        <w:t>县级及</w:t>
      </w:r>
      <w:r>
        <w:rPr>
          <w:rFonts w:hint="eastAsia"/>
          <w:color w:val="auto"/>
          <w:lang w:val="en-US" w:eastAsia="zh-CN"/>
        </w:rPr>
        <w:t>以上集中式</w:t>
      </w:r>
      <w:r>
        <w:rPr>
          <w:rFonts w:hint="default"/>
          <w:color w:val="auto"/>
          <w:lang w:val="en-US" w:eastAsia="zh-CN"/>
        </w:rPr>
        <w:t>饮用水水源地水质优良比例</w:t>
      </w:r>
      <w:r>
        <w:rPr>
          <w:rFonts w:hint="eastAsia"/>
          <w:color w:val="auto"/>
          <w:lang w:val="en-US" w:eastAsia="zh-CN"/>
        </w:rPr>
        <w:t>、</w:t>
      </w:r>
      <w:r>
        <w:rPr>
          <w:rFonts w:hint="default"/>
          <w:color w:val="auto"/>
          <w:lang w:val="en-US" w:eastAsia="zh-CN"/>
        </w:rPr>
        <w:t>城镇污水处理率、城镇生活垃圾无害化处理率、中央和地方生态环保资金绩效目标完成情况</w:t>
      </w:r>
      <w:r>
        <w:rPr>
          <w:rFonts w:hint="eastAsia"/>
          <w:color w:val="auto"/>
          <w:lang w:val="en-US" w:eastAsia="zh-CN"/>
        </w:rPr>
        <w:t>）；生态文化指标3项（</w:t>
      </w:r>
      <w:r>
        <w:rPr>
          <w:rFonts w:hint="default"/>
          <w:color w:val="auto"/>
          <w:lang w:val="en-US" w:eastAsia="zh-CN"/>
        </w:rPr>
        <w:t>城镇人均公园绿地面积</w:t>
      </w:r>
      <w:r>
        <w:rPr>
          <w:rFonts w:hint="eastAsia"/>
          <w:color w:val="auto"/>
          <w:lang w:val="en-US" w:eastAsia="zh-CN"/>
        </w:rPr>
        <w:t>、政府绿色采购比例、</w:t>
      </w:r>
      <w:r>
        <w:rPr>
          <w:rFonts w:hint="default"/>
          <w:color w:val="auto"/>
          <w:lang w:val="en-US" w:eastAsia="zh-CN"/>
        </w:rPr>
        <w:t>公众对生态文明建设的参与度和满意度</w:t>
      </w:r>
      <w:r>
        <w:rPr>
          <w:rFonts w:hint="eastAsia"/>
          <w:color w:val="auto"/>
          <w:lang w:val="en-US" w:eastAsia="zh-CN"/>
        </w:rPr>
        <w:t>）。</w:t>
      </w:r>
    </w:p>
    <w:p>
      <w:pPr>
        <w:pStyle w:val="21"/>
        <w:bidi w:val="0"/>
        <w:rPr>
          <w:rFonts w:hint="eastAsia"/>
          <w:color w:val="auto"/>
          <w:lang w:val="en-US" w:eastAsia="zh-CN"/>
        </w:rPr>
      </w:pPr>
      <w:r>
        <w:rPr>
          <w:rFonts w:hint="eastAsia"/>
          <w:color w:val="auto"/>
          <w:lang w:val="en-US" w:eastAsia="zh-CN"/>
        </w:rPr>
        <w:t>对照《</w:t>
      </w:r>
      <w:r>
        <w:rPr>
          <w:rFonts w:hint="default"/>
          <w:color w:val="auto"/>
          <w:lang w:val="en-US" w:eastAsia="zh-CN"/>
        </w:rPr>
        <w:t>国家生态文明建设示范区建设指标》，</w:t>
      </w:r>
      <w:r>
        <w:rPr>
          <w:rFonts w:hint="eastAsia"/>
          <w:color w:val="auto"/>
          <w:lang w:val="en-US" w:eastAsia="zh-CN"/>
        </w:rPr>
        <w:t>红谷滩</w:t>
      </w:r>
      <w:r>
        <w:rPr>
          <w:rFonts w:hint="default"/>
          <w:color w:val="auto"/>
          <w:lang w:val="en-US" w:eastAsia="zh-CN"/>
        </w:rPr>
        <w:t>目前已达标指标</w:t>
      </w:r>
      <w:r>
        <w:rPr>
          <w:rFonts w:hint="eastAsia"/>
          <w:color w:val="auto"/>
          <w:lang w:val="en-US" w:eastAsia="zh-CN"/>
        </w:rPr>
        <w:t>31</w:t>
      </w:r>
      <w:r>
        <w:rPr>
          <w:rFonts w:hint="default"/>
          <w:color w:val="auto"/>
          <w:lang w:val="en-US" w:eastAsia="zh-CN"/>
        </w:rPr>
        <w:t>项</w:t>
      </w:r>
      <w:r>
        <w:rPr>
          <w:rFonts w:hint="eastAsia"/>
          <w:color w:val="auto"/>
          <w:lang w:val="en-US" w:eastAsia="zh-CN"/>
        </w:rPr>
        <w:t>；</w:t>
      </w:r>
      <w:r>
        <w:rPr>
          <w:rFonts w:hint="default"/>
          <w:color w:val="auto"/>
          <w:lang w:val="en-US" w:eastAsia="zh-CN"/>
        </w:rPr>
        <w:t xml:space="preserve">包括: </w:t>
      </w:r>
      <w:r>
        <w:rPr>
          <w:rFonts w:hint="eastAsia"/>
          <w:color w:val="auto"/>
          <w:lang w:val="en-US" w:eastAsia="zh-CN"/>
        </w:rPr>
        <w:t>生态制度指标4项（</w:t>
      </w:r>
      <w:r>
        <w:rPr>
          <w:rFonts w:hint="default"/>
          <w:color w:val="auto"/>
          <w:lang w:val="en-US" w:eastAsia="zh-CN"/>
        </w:rPr>
        <w:t>党委政府对生态文明建设重大目标任务部署情况、河长制、生态环境信息公开率、依法开展规划环境影响评价</w:t>
      </w:r>
      <w:r>
        <w:rPr>
          <w:rFonts w:hint="eastAsia"/>
          <w:color w:val="auto"/>
          <w:lang w:val="en-US" w:eastAsia="zh-CN"/>
        </w:rPr>
        <w:t>），</w:t>
      </w:r>
      <w:r>
        <w:rPr>
          <w:rFonts w:hint="default"/>
          <w:color w:val="auto"/>
          <w:lang w:val="en-US" w:eastAsia="zh-CN"/>
        </w:rPr>
        <w:t>生态安全</w:t>
      </w:r>
      <w:r>
        <w:rPr>
          <w:rFonts w:hint="eastAsia"/>
          <w:color w:val="auto"/>
          <w:lang w:val="en-US" w:eastAsia="zh-CN"/>
        </w:rPr>
        <w:t>指标指标7项（</w:t>
      </w:r>
      <w:r>
        <w:rPr>
          <w:rFonts w:hint="default"/>
          <w:color w:val="auto"/>
          <w:lang w:val="en-US" w:eastAsia="zh-CN"/>
        </w:rPr>
        <w:t>环境空气质量、水环境质量</w:t>
      </w:r>
      <w:r>
        <w:rPr>
          <w:rFonts w:hint="eastAsia"/>
          <w:color w:val="auto"/>
          <w:lang w:val="en-US" w:eastAsia="zh-CN"/>
        </w:rPr>
        <w:t>、</w:t>
      </w:r>
      <w:r>
        <w:rPr>
          <w:rFonts w:hint="default"/>
          <w:color w:val="auto"/>
          <w:lang w:val="en-US" w:eastAsia="zh-CN"/>
        </w:rPr>
        <w:t>生态</w:t>
      </w:r>
      <w:r>
        <w:rPr>
          <w:rFonts w:hint="eastAsia"/>
          <w:color w:val="auto"/>
          <w:lang w:val="en-US" w:eastAsia="zh-CN"/>
        </w:rPr>
        <w:t>质量</w:t>
      </w:r>
      <w:r>
        <w:rPr>
          <w:rFonts w:hint="default"/>
          <w:color w:val="auto"/>
          <w:lang w:val="en-US" w:eastAsia="zh-CN"/>
        </w:rPr>
        <w:t>指数（E</w:t>
      </w:r>
      <w:r>
        <w:rPr>
          <w:rFonts w:hint="eastAsia"/>
          <w:color w:val="auto"/>
          <w:lang w:val="en-US" w:eastAsia="zh-CN"/>
        </w:rPr>
        <w:t>Q</w:t>
      </w:r>
      <w:r>
        <w:rPr>
          <w:rFonts w:hint="default"/>
          <w:color w:val="auto"/>
          <w:lang w:val="en-US" w:eastAsia="zh-CN"/>
        </w:rPr>
        <w:t>I）</w:t>
      </w:r>
      <w:r>
        <w:rPr>
          <w:rFonts w:hint="eastAsia"/>
          <w:color w:val="auto"/>
          <w:lang w:val="en-US" w:eastAsia="zh-CN"/>
        </w:rPr>
        <w:t>、生物多样性保护</w:t>
      </w:r>
      <w:r>
        <w:rPr>
          <w:rFonts w:hint="default"/>
          <w:color w:val="auto"/>
          <w:lang w:val="en-US" w:eastAsia="zh-CN"/>
        </w:rPr>
        <w:t>、危险废物利用处置率、建设用地土壤污染风险管控和修复名录制度、突发生态环境事件应急管理机制</w:t>
      </w:r>
      <w:r>
        <w:rPr>
          <w:rFonts w:hint="eastAsia"/>
          <w:color w:val="auto"/>
          <w:lang w:val="en-US" w:eastAsia="zh-CN"/>
        </w:rPr>
        <w:t>），</w:t>
      </w:r>
      <w:r>
        <w:rPr>
          <w:rFonts w:hint="default"/>
          <w:color w:val="auto"/>
          <w:lang w:val="en-US" w:eastAsia="zh-CN"/>
        </w:rPr>
        <w:t>生态空间</w:t>
      </w:r>
      <w:r>
        <w:rPr>
          <w:rFonts w:hint="eastAsia"/>
          <w:color w:val="auto"/>
          <w:lang w:val="en-US" w:eastAsia="zh-CN"/>
        </w:rPr>
        <w:t>指标2项（</w:t>
      </w:r>
      <w:r>
        <w:rPr>
          <w:rFonts w:hint="default"/>
          <w:color w:val="auto"/>
          <w:lang w:val="en-US" w:eastAsia="zh-CN"/>
        </w:rPr>
        <w:t>自然生态空间、河湖岸线保护率</w:t>
      </w:r>
      <w:r>
        <w:rPr>
          <w:rFonts w:hint="eastAsia"/>
          <w:color w:val="auto"/>
          <w:lang w:val="en-US" w:eastAsia="zh-CN"/>
        </w:rPr>
        <w:t>），生态经济指标6项（</w:t>
      </w:r>
      <w:r>
        <w:rPr>
          <w:rFonts w:hint="default"/>
          <w:color w:val="auto"/>
          <w:lang w:val="en-US" w:eastAsia="zh-CN"/>
        </w:rPr>
        <w:t>单位地区生产总值能耗、单位地区生产总值用水量、单位国内生产总值建设用地使用面积下降率</w:t>
      </w:r>
      <w:r>
        <w:rPr>
          <w:rFonts w:hint="eastAsia"/>
          <w:color w:val="auto"/>
          <w:lang w:val="en-US" w:eastAsia="zh-CN"/>
        </w:rPr>
        <w:t>、</w:t>
      </w:r>
      <w:r>
        <w:rPr>
          <w:rFonts w:hint="default"/>
          <w:color w:val="auto"/>
          <w:lang w:val="en-US" w:eastAsia="zh-CN"/>
        </w:rPr>
        <w:t>化肥农药减量化</w:t>
      </w:r>
      <w:r>
        <w:rPr>
          <w:rFonts w:hint="eastAsia"/>
          <w:color w:val="auto"/>
          <w:lang w:val="en-US" w:eastAsia="zh-CN"/>
        </w:rPr>
        <w:t>、</w:t>
      </w:r>
      <w:r>
        <w:rPr>
          <w:rFonts w:hint="default"/>
          <w:color w:val="auto"/>
          <w:lang w:val="en-US" w:eastAsia="zh-CN"/>
        </w:rPr>
        <w:t>农业废弃物综合利用率</w:t>
      </w:r>
      <w:r>
        <w:rPr>
          <w:rFonts w:hint="eastAsia"/>
          <w:color w:val="auto"/>
          <w:lang w:val="en-US" w:eastAsia="zh-CN"/>
        </w:rPr>
        <w:t>、</w:t>
      </w:r>
      <w:r>
        <w:rPr>
          <w:rFonts w:hint="default"/>
          <w:color w:val="auto"/>
          <w:lang w:val="en-US" w:eastAsia="zh-CN"/>
        </w:rPr>
        <w:t>一般工业固体废物综合利用率提高幅度</w:t>
      </w:r>
      <w:r>
        <w:rPr>
          <w:rFonts w:hint="eastAsia"/>
          <w:color w:val="auto"/>
          <w:lang w:val="en-US" w:eastAsia="zh-CN"/>
        </w:rPr>
        <w:t>），生态生活指标9项（</w:t>
      </w:r>
      <w:r>
        <w:rPr>
          <w:rFonts w:hint="default"/>
          <w:color w:val="auto"/>
          <w:lang w:val="en-US" w:eastAsia="zh-CN"/>
        </w:rPr>
        <w:t>集中式饮用水水源地水质优良比例</w:t>
      </w:r>
      <w:r>
        <w:rPr>
          <w:rFonts w:hint="eastAsia"/>
          <w:color w:val="auto"/>
          <w:lang w:val="en-US" w:eastAsia="zh-CN"/>
        </w:rPr>
        <w:t>、</w:t>
      </w:r>
      <w:r>
        <w:rPr>
          <w:rFonts w:hint="default"/>
          <w:color w:val="auto"/>
          <w:lang w:val="en-US" w:eastAsia="zh-CN"/>
        </w:rPr>
        <w:t>村镇饮用水卫生合格率、城镇污水处理率、城镇生活垃圾无害化处理率、农村生活垃圾无害化处理村占比、农村无害化卫生厕所普及率</w:t>
      </w:r>
      <w:r>
        <w:rPr>
          <w:rFonts w:hint="eastAsia"/>
          <w:color w:val="auto"/>
          <w:lang w:val="en-US" w:eastAsia="zh-CN"/>
        </w:rPr>
        <w:t>、</w:t>
      </w:r>
      <w:r>
        <w:rPr>
          <w:rFonts w:hint="default"/>
          <w:color w:val="auto"/>
          <w:lang w:val="en-US" w:eastAsia="zh-CN"/>
        </w:rPr>
        <w:t>城镇新建绿色建筑比例</w:t>
      </w:r>
      <w:r>
        <w:rPr>
          <w:rFonts w:hint="eastAsia"/>
          <w:color w:val="auto"/>
          <w:lang w:val="en-US" w:eastAsia="zh-CN"/>
        </w:rPr>
        <w:t>、</w:t>
      </w:r>
      <w:r>
        <w:rPr>
          <w:rFonts w:hint="default"/>
          <w:color w:val="auto"/>
          <w:lang w:val="en-US" w:eastAsia="zh-CN"/>
        </w:rPr>
        <w:t>城镇生活垃圾分类减量化行动、政府绿色采购比例</w:t>
      </w:r>
      <w:r>
        <w:rPr>
          <w:rFonts w:hint="eastAsia"/>
          <w:color w:val="auto"/>
          <w:lang w:val="en-US" w:eastAsia="zh-CN"/>
        </w:rPr>
        <w:t>），生态文化指标3项（</w:t>
      </w:r>
      <w:r>
        <w:rPr>
          <w:rFonts w:hint="default"/>
          <w:color w:val="auto"/>
          <w:lang w:val="en-US" w:eastAsia="zh-CN"/>
        </w:rPr>
        <w:t>党政领导干部参加生态文明培训的人数比例</w:t>
      </w:r>
      <w:r>
        <w:rPr>
          <w:rFonts w:hint="eastAsia"/>
          <w:color w:val="auto"/>
          <w:lang w:val="en-US" w:eastAsia="zh-CN"/>
        </w:rPr>
        <w:t>、</w:t>
      </w:r>
      <w:r>
        <w:rPr>
          <w:rFonts w:hint="default"/>
          <w:color w:val="auto"/>
          <w:lang w:val="en-US" w:eastAsia="zh-CN"/>
        </w:rPr>
        <w:t>公众对生态文明建设的满意度</w:t>
      </w:r>
      <w:r>
        <w:rPr>
          <w:rFonts w:hint="eastAsia"/>
          <w:color w:val="auto"/>
          <w:lang w:val="en-US" w:eastAsia="zh-CN"/>
        </w:rPr>
        <w:t>、</w:t>
      </w:r>
      <w:r>
        <w:rPr>
          <w:rFonts w:hint="default"/>
          <w:color w:val="auto"/>
          <w:lang w:val="en-US" w:eastAsia="zh-CN"/>
        </w:rPr>
        <w:t>公众对生态文明建设的参与度</w:t>
      </w:r>
      <w:r>
        <w:rPr>
          <w:rFonts w:hint="eastAsia"/>
          <w:color w:val="auto"/>
          <w:lang w:val="en-US" w:eastAsia="zh-CN"/>
        </w:rPr>
        <w:t>）。</w:t>
      </w:r>
    </w:p>
    <w:p>
      <w:pPr>
        <w:pStyle w:val="21"/>
        <w:bidi w:val="0"/>
        <w:rPr>
          <w:rFonts w:hint="default"/>
          <w:color w:val="auto"/>
          <w:lang w:val="en-US" w:eastAsia="zh-CN"/>
        </w:rPr>
      </w:pPr>
      <w:r>
        <w:rPr>
          <w:rFonts w:hint="default"/>
          <w:color w:val="auto"/>
          <w:lang w:val="en-US" w:eastAsia="zh-CN"/>
        </w:rPr>
        <w:t>规划期内</w:t>
      </w:r>
      <w:r>
        <w:rPr>
          <w:rFonts w:hint="eastAsia"/>
          <w:color w:val="auto"/>
          <w:lang w:val="en-US" w:eastAsia="zh-CN"/>
        </w:rPr>
        <w:t>红谷滩区</w:t>
      </w:r>
      <w:r>
        <w:rPr>
          <w:rFonts w:hint="default"/>
          <w:color w:val="auto"/>
          <w:lang w:val="en-US" w:eastAsia="zh-CN"/>
        </w:rPr>
        <w:t>将通过规划任务及工程的实施，巩固加强已达标指标，保证其稳定达标或持续改善</w:t>
      </w:r>
      <w:r>
        <w:rPr>
          <w:rFonts w:hint="eastAsia"/>
          <w:color w:val="auto"/>
          <w:lang w:val="en-US" w:eastAsia="zh-CN"/>
        </w:rPr>
        <w:t>。</w:t>
      </w:r>
    </w:p>
    <w:p>
      <w:pPr>
        <w:pStyle w:val="21"/>
        <w:bidi w:val="0"/>
        <w:rPr>
          <w:rFonts w:hint="eastAsia" w:eastAsia="仿宋"/>
          <w:color w:val="auto"/>
          <w:lang w:val="en-US" w:eastAsia="zh-CN"/>
        </w:rPr>
      </w:pPr>
      <w:r>
        <w:rPr>
          <w:rFonts w:hint="default"/>
          <w:color w:val="auto"/>
          <w:lang w:val="en-US" w:eastAsia="zh-CN"/>
        </w:rPr>
        <w:t>对照《江西省省级生态市县建设指标</w:t>
      </w:r>
      <w:r>
        <w:rPr>
          <w:rFonts w:hint="eastAsia"/>
          <w:color w:val="auto"/>
          <w:lang w:val="en-US" w:eastAsia="zh-CN"/>
        </w:rPr>
        <w:t>》、《</w:t>
      </w:r>
      <w:r>
        <w:rPr>
          <w:rFonts w:hint="default"/>
          <w:color w:val="auto"/>
          <w:lang w:val="en-US" w:eastAsia="zh-CN"/>
        </w:rPr>
        <w:t>国家生态文明建设示范区建设指标》</w:t>
      </w:r>
      <w:r>
        <w:rPr>
          <w:rFonts w:hint="eastAsia"/>
          <w:color w:val="auto"/>
          <w:lang w:val="en-US" w:eastAsia="zh-CN"/>
        </w:rPr>
        <w:t>，红谷滩区尚有7项江西省省级生态县</w:t>
      </w:r>
      <w:r>
        <w:rPr>
          <w:rFonts w:hint="default"/>
          <w:color w:val="auto"/>
          <w:lang w:val="en-US" w:eastAsia="zh-CN"/>
        </w:rPr>
        <w:t>建设指标</w:t>
      </w:r>
      <w:r>
        <w:rPr>
          <w:rFonts w:hint="eastAsia"/>
          <w:color w:val="auto"/>
          <w:lang w:val="en-US" w:eastAsia="zh-CN"/>
        </w:rPr>
        <w:t>、4项</w:t>
      </w:r>
      <w:r>
        <w:rPr>
          <w:rFonts w:hint="default"/>
          <w:color w:val="auto"/>
          <w:lang w:val="en-US" w:eastAsia="zh-CN"/>
        </w:rPr>
        <w:t>国家生态文明建设示范区建设指标</w:t>
      </w:r>
      <w:r>
        <w:rPr>
          <w:rFonts w:hint="eastAsia"/>
          <w:color w:val="auto"/>
          <w:lang w:val="en-US" w:eastAsia="zh-CN"/>
        </w:rPr>
        <w:t>不达标，其中省级生态县</w:t>
      </w:r>
      <w:r>
        <w:rPr>
          <w:rFonts w:hint="default"/>
          <w:color w:val="auto"/>
          <w:lang w:val="en-US" w:eastAsia="zh-CN"/>
        </w:rPr>
        <w:t>建设</w:t>
      </w:r>
      <w:r>
        <w:rPr>
          <w:rFonts w:hint="eastAsia"/>
          <w:color w:val="auto"/>
          <w:lang w:val="en-US" w:eastAsia="zh-CN"/>
        </w:rPr>
        <w:t>不达标</w:t>
      </w:r>
      <w:r>
        <w:rPr>
          <w:rFonts w:hint="default"/>
          <w:color w:val="auto"/>
          <w:lang w:val="en-US" w:eastAsia="zh-CN"/>
        </w:rPr>
        <w:t>指标</w:t>
      </w:r>
      <w:r>
        <w:rPr>
          <w:rFonts w:hint="eastAsia"/>
          <w:color w:val="auto"/>
          <w:lang w:val="en-US" w:eastAsia="zh-CN"/>
        </w:rPr>
        <w:t>中3项为约束性指标，</w:t>
      </w:r>
      <w:r>
        <w:rPr>
          <w:rFonts w:hint="default"/>
          <w:color w:val="auto"/>
          <w:lang w:val="en-US" w:eastAsia="zh-CN"/>
        </w:rPr>
        <w:t>国家生态文明建设示范区建设</w:t>
      </w:r>
      <w:r>
        <w:rPr>
          <w:rFonts w:hint="eastAsia"/>
          <w:color w:val="auto"/>
          <w:lang w:val="en-US" w:eastAsia="zh-CN"/>
        </w:rPr>
        <w:t>不达标指标中2项为约束性指标，其余为参考性指标。</w:t>
      </w:r>
      <w:r>
        <w:rPr>
          <w:rFonts w:hint="eastAsia"/>
          <w:color w:val="auto"/>
          <w:lang w:eastAsia="zh-CN"/>
        </w:rPr>
        <w:t>现结合</w:t>
      </w:r>
      <w:r>
        <w:rPr>
          <w:rFonts w:hint="eastAsia"/>
          <w:color w:val="auto"/>
          <w:lang w:val="en-US" w:eastAsia="zh-CN"/>
        </w:rPr>
        <w:t>红谷滩区</w:t>
      </w:r>
      <w:r>
        <w:rPr>
          <w:rFonts w:hint="eastAsia"/>
          <w:color w:val="auto"/>
          <w:lang w:eastAsia="zh-CN"/>
        </w:rPr>
        <w:t>经济社会发展的阶段性特征，对未达标和未统计指标规划目标实现</w:t>
      </w:r>
      <w:r>
        <w:rPr>
          <w:rFonts w:hint="eastAsia"/>
          <w:color w:val="auto"/>
          <w:lang w:val="en-US" w:eastAsia="zh-CN"/>
        </w:rPr>
        <w:t>进行</w:t>
      </w:r>
      <w:r>
        <w:rPr>
          <w:rFonts w:hint="eastAsia"/>
          <w:color w:val="auto"/>
          <w:lang w:eastAsia="zh-CN"/>
        </w:rPr>
        <w:t>可达性分析。</w:t>
      </w:r>
    </w:p>
    <w:p>
      <w:pPr>
        <w:pStyle w:val="21"/>
        <w:bidi w:val="0"/>
        <w:rPr>
          <w:rFonts w:hint="default"/>
          <w:color w:val="auto"/>
          <w:lang w:val="en-US" w:eastAsia="zh-CN"/>
        </w:rPr>
      </w:pPr>
      <w:r>
        <w:rPr>
          <w:rFonts w:hint="default"/>
          <w:color w:val="auto"/>
          <w:lang w:val="en-US" w:eastAsia="zh-CN"/>
        </w:rPr>
        <w:t>①生态文明建设规划（国家级、省级，约束性指标）</w:t>
      </w:r>
      <w:r>
        <w:rPr>
          <w:rFonts w:hint="eastAsia"/>
          <w:color w:val="auto"/>
          <w:lang w:val="en-US" w:eastAsia="zh-CN"/>
        </w:rPr>
        <w:t>：红谷滩区于2023年启动《南昌市红谷滩区生态文明建设示范区规划》编制工作，预计2023年经红谷滩区人民政府审议后颁布实施。</w:t>
      </w:r>
    </w:p>
    <w:p>
      <w:pPr>
        <w:pStyle w:val="21"/>
        <w:bidi w:val="0"/>
        <w:rPr>
          <w:rFonts w:hint="default"/>
          <w:color w:val="auto"/>
          <w:lang w:val="en-US" w:eastAsia="zh-CN"/>
        </w:rPr>
      </w:pPr>
      <w:r>
        <w:rPr>
          <w:rFonts w:hint="eastAsia"/>
          <w:color w:val="auto"/>
          <w:lang w:val="en-US" w:eastAsia="zh-CN"/>
        </w:rPr>
        <w:t>②</w:t>
      </w:r>
      <w:r>
        <w:rPr>
          <w:rFonts w:hint="eastAsia"/>
          <w:color w:val="auto"/>
        </w:rPr>
        <w:t>生态文明建设工作占党政实绩考核的比例</w:t>
      </w:r>
      <w:r>
        <w:rPr>
          <w:rFonts w:hint="default"/>
          <w:color w:val="auto"/>
          <w:lang w:val="en-US" w:eastAsia="zh-CN"/>
        </w:rPr>
        <w:t>（国家级、省级，约束性指标）</w:t>
      </w:r>
      <w:r>
        <w:rPr>
          <w:rFonts w:hint="eastAsia"/>
          <w:color w:val="auto"/>
          <w:lang w:val="en-US" w:eastAsia="zh-CN"/>
        </w:rPr>
        <w:t>：</w:t>
      </w:r>
      <w:r>
        <w:rPr>
          <w:rFonts w:hint="default"/>
          <w:color w:val="auto"/>
          <w:lang w:val="en-US" w:eastAsia="zh-CN"/>
        </w:rPr>
        <w:t>近年来，</w:t>
      </w:r>
      <w:r>
        <w:rPr>
          <w:rFonts w:hint="eastAsia"/>
          <w:color w:val="auto"/>
          <w:lang w:val="en-US" w:eastAsia="zh-CN"/>
        </w:rPr>
        <w:t>红谷滩区</w:t>
      </w:r>
      <w:r>
        <w:rPr>
          <w:rFonts w:hint="default"/>
          <w:color w:val="auto"/>
          <w:lang w:val="en-US" w:eastAsia="zh-CN"/>
        </w:rPr>
        <w:t>落实国家生态文明建设要求</w:t>
      </w:r>
      <w:r>
        <w:rPr>
          <w:rFonts w:hint="eastAsia"/>
          <w:color w:val="auto"/>
          <w:lang w:val="en-US" w:eastAsia="zh-CN"/>
        </w:rPr>
        <w:t>；</w:t>
      </w:r>
      <w:r>
        <w:rPr>
          <w:rFonts w:hint="default"/>
          <w:color w:val="auto"/>
          <w:lang w:val="en-US" w:eastAsia="zh-CN"/>
        </w:rPr>
        <w:t>将生态文明建设纳入</w:t>
      </w:r>
      <w:r>
        <w:rPr>
          <w:rFonts w:hint="eastAsia"/>
          <w:color w:val="auto"/>
          <w:lang w:val="en-US" w:eastAsia="zh-CN"/>
        </w:rPr>
        <w:t>区</w:t>
      </w:r>
      <w:r>
        <w:rPr>
          <w:rFonts w:hint="default"/>
          <w:color w:val="auto"/>
          <w:lang w:val="en-US" w:eastAsia="zh-CN"/>
        </w:rPr>
        <w:t>直部门</w:t>
      </w:r>
      <w:r>
        <w:rPr>
          <w:rFonts w:hint="eastAsia"/>
          <w:color w:val="auto"/>
          <w:lang w:val="en-US" w:eastAsia="zh-CN"/>
        </w:rPr>
        <w:t>，</w:t>
      </w:r>
      <w:r>
        <w:rPr>
          <w:rFonts w:hint="default"/>
          <w:color w:val="auto"/>
          <w:lang w:val="en-US" w:eastAsia="zh-CN"/>
        </w:rPr>
        <w:t>各</w:t>
      </w:r>
      <w:r>
        <w:rPr>
          <w:rFonts w:hint="eastAsia"/>
          <w:color w:val="auto"/>
          <w:lang w:val="en-US" w:eastAsia="zh-CN"/>
        </w:rPr>
        <w:t>街道、</w:t>
      </w:r>
      <w:r>
        <w:rPr>
          <w:rFonts w:hint="default"/>
          <w:color w:val="auto"/>
          <w:lang w:val="en-US" w:eastAsia="zh-CN"/>
        </w:rPr>
        <w:t>乡（镇）党政领导干部考核评价的指标体系</w:t>
      </w:r>
      <w:r>
        <w:rPr>
          <w:rFonts w:hint="eastAsia"/>
          <w:color w:val="auto"/>
          <w:lang w:val="en-US" w:eastAsia="zh-CN"/>
        </w:rPr>
        <w:t>，现</w:t>
      </w:r>
      <w:r>
        <w:rPr>
          <w:rFonts w:hint="eastAsia"/>
          <w:color w:val="auto"/>
        </w:rPr>
        <w:t>生态文明建设工作</w:t>
      </w:r>
      <w:r>
        <w:rPr>
          <w:rFonts w:hint="eastAsia"/>
          <w:color w:val="auto"/>
          <w:lang w:val="en-US" w:eastAsia="zh-CN"/>
        </w:rPr>
        <w:t>占</w:t>
      </w:r>
      <w:r>
        <w:rPr>
          <w:rFonts w:hint="eastAsia"/>
          <w:color w:val="auto"/>
        </w:rPr>
        <w:t>党政实绩考核</w:t>
      </w:r>
      <w:r>
        <w:rPr>
          <w:rFonts w:hint="eastAsia"/>
          <w:color w:val="auto"/>
          <w:lang w:val="en-US" w:eastAsia="zh-CN"/>
        </w:rPr>
        <w:t>的比例为16%</w:t>
      </w:r>
      <w:r>
        <w:rPr>
          <w:rFonts w:hint="default"/>
          <w:color w:val="auto"/>
          <w:lang w:val="en-US" w:eastAsia="zh-CN"/>
        </w:rPr>
        <w:t>。</w:t>
      </w:r>
      <w:r>
        <w:rPr>
          <w:rFonts w:hint="eastAsia"/>
          <w:color w:val="auto"/>
          <w:lang w:val="en-US" w:eastAsia="zh-CN"/>
        </w:rPr>
        <w:t>2023年6月20日，《</w:t>
      </w:r>
      <w:r>
        <w:rPr>
          <w:rFonts w:hint="default"/>
          <w:color w:val="auto"/>
          <w:lang w:val="en-US" w:eastAsia="zh-CN"/>
        </w:rPr>
        <w:t>红谷滩区人民政府办公室关于印发南昌市红谷滩区创建省级生态区工作实施方案的通知</w:t>
      </w:r>
      <w:r>
        <w:rPr>
          <w:rFonts w:hint="eastAsia"/>
          <w:color w:val="auto"/>
          <w:lang w:val="en-US" w:eastAsia="zh-CN"/>
        </w:rPr>
        <w:t>》中明确，“将生态文明建设工作作为党政实绩考核的重要内容，比例不得低于 20%，通过建立健全生态文明考核机制，把生态文明建设工作任务落到实处。”考核比例正在调整中，本指标容易达标。</w:t>
      </w:r>
    </w:p>
    <w:p>
      <w:pPr>
        <w:pStyle w:val="21"/>
        <w:bidi w:val="0"/>
        <w:rPr>
          <w:rFonts w:hint="default"/>
          <w:color w:val="auto"/>
          <w:lang w:val="en-US" w:eastAsia="zh-CN"/>
        </w:rPr>
      </w:pPr>
      <w:r>
        <w:rPr>
          <w:rFonts w:hint="eastAsia"/>
          <w:color w:val="auto"/>
          <w:lang w:eastAsia="zh-CN"/>
        </w:rPr>
        <w:t>③</w:t>
      </w:r>
      <w:r>
        <w:rPr>
          <w:rFonts w:hint="default"/>
          <w:color w:val="auto"/>
          <w:lang w:val="en-US" w:eastAsia="zh-CN"/>
        </w:rPr>
        <w:t>生态</w:t>
      </w:r>
      <w:r>
        <w:rPr>
          <w:rFonts w:hint="eastAsia"/>
          <w:color w:val="auto"/>
          <w:lang w:val="en-US" w:eastAsia="zh-CN"/>
        </w:rPr>
        <w:t>质量</w:t>
      </w:r>
      <w:r>
        <w:rPr>
          <w:rFonts w:hint="default"/>
          <w:color w:val="auto"/>
          <w:lang w:val="en-US" w:eastAsia="zh-CN"/>
        </w:rPr>
        <w:t>指数（E</w:t>
      </w:r>
      <w:r>
        <w:rPr>
          <w:rFonts w:hint="eastAsia"/>
          <w:color w:val="auto"/>
          <w:lang w:val="en-US" w:eastAsia="zh-CN"/>
        </w:rPr>
        <w:t>Q</w:t>
      </w:r>
      <w:r>
        <w:rPr>
          <w:rFonts w:hint="default"/>
          <w:color w:val="auto"/>
          <w:lang w:val="en-US" w:eastAsia="zh-CN"/>
        </w:rPr>
        <w:t>I）（省级</w:t>
      </w:r>
      <w:r>
        <w:rPr>
          <w:rFonts w:hint="eastAsia"/>
          <w:color w:val="auto"/>
          <w:lang w:val="en-US" w:eastAsia="zh-CN"/>
        </w:rPr>
        <w:t>、国家级</w:t>
      </w:r>
      <w:r>
        <w:rPr>
          <w:rFonts w:hint="default"/>
          <w:color w:val="auto"/>
          <w:lang w:val="en-US" w:eastAsia="zh-CN"/>
        </w:rPr>
        <w:t>，约束性指标）</w:t>
      </w:r>
      <w:r>
        <w:rPr>
          <w:rFonts w:hint="eastAsia"/>
          <w:color w:val="auto"/>
          <w:lang w:val="en-US" w:eastAsia="zh-CN"/>
        </w:rPr>
        <w:t>：</w:t>
      </w:r>
      <w:r>
        <w:rPr>
          <w:rFonts w:hint="default"/>
          <w:color w:val="auto"/>
          <w:lang w:val="en-US" w:eastAsia="zh-CN"/>
        </w:rPr>
        <w:t>根据区</w:t>
      </w:r>
      <w:r>
        <w:rPr>
          <w:rFonts w:hint="eastAsia"/>
          <w:color w:val="auto"/>
          <w:lang w:val="en-US" w:eastAsia="zh-CN"/>
        </w:rPr>
        <w:t>生态环境局</w:t>
      </w:r>
      <w:r>
        <w:rPr>
          <w:rFonts w:hint="default"/>
          <w:color w:val="auto"/>
          <w:lang w:val="en-US" w:eastAsia="zh-CN"/>
        </w:rPr>
        <w:t>提供资料，</w:t>
      </w:r>
      <w:r>
        <w:rPr>
          <w:rFonts w:hint="eastAsia"/>
          <w:color w:val="auto"/>
          <w:lang w:val="en-US" w:eastAsia="zh-CN"/>
        </w:rPr>
        <w:t>2020年红谷滩区</w:t>
      </w:r>
      <w:r>
        <w:rPr>
          <w:rFonts w:hint="default"/>
          <w:color w:val="auto"/>
          <w:lang w:val="en-US" w:eastAsia="zh-CN"/>
        </w:rPr>
        <w:t>E</w:t>
      </w:r>
      <w:r>
        <w:rPr>
          <w:rFonts w:hint="eastAsia"/>
          <w:color w:val="auto"/>
          <w:lang w:val="en-US" w:eastAsia="zh-CN"/>
        </w:rPr>
        <w:t>Q</w:t>
      </w:r>
      <w:r>
        <w:rPr>
          <w:rFonts w:hint="default"/>
          <w:color w:val="auto"/>
          <w:lang w:val="en-US" w:eastAsia="zh-CN"/>
        </w:rPr>
        <w:t>I</w:t>
      </w:r>
      <w:r>
        <w:rPr>
          <w:rFonts w:hint="eastAsia"/>
          <w:color w:val="auto"/>
          <w:lang w:val="en-US" w:eastAsia="zh-CN"/>
        </w:rPr>
        <w:t>为46.38，2021年红谷滩区</w:t>
      </w:r>
      <w:r>
        <w:rPr>
          <w:rFonts w:hint="default"/>
          <w:color w:val="auto"/>
          <w:lang w:val="en-US" w:eastAsia="zh-CN"/>
        </w:rPr>
        <w:t>E</w:t>
      </w:r>
      <w:r>
        <w:rPr>
          <w:rFonts w:hint="eastAsia"/>
          <w:color w:val="auto"/>
          <w:lang w:val="en-US" w:eastAsia="zh-CN"/>
        </w:rPr>
        <w:t>Q</w:t>
      </w:r>
      <w:r>
        <w:rPr>
          <w:rFonts w:hint="default"/>
          <w:color w:val="auto"/>
          <w:lang w:val="en-US" w:eastAsia="zh-CN"/>
        </w:rPr>
        <w:t>I</w:t>
      </w:r>
      <w:r>
        <w:rPr>
          <w:rFonts w:hint="eastAsia"/>
          <w:color w:val="auto"/>
          <w:lang w:val="en-US" w:eastAsia="zh-CN"/>
        </w:rPr>
        <w:t>为46.48，</w:t>
      </w:r>
      <w:r>
        <w:rPr>
          <w:rFonts w:hint="default"/>
          <w:color w:val="auto"/>
          <w:lang w:val="en-US" w:eastAsia="zh-CN"/>
        </w:rPr>
        <w:t>ΔE</w:t>
      </w:r>
      <w:r>
        <w:rPr>
          <w:rFonts w:hint="eastAsia"/>
          <w:color w:val="auto"/>
          <w:lang w:val="en-US" w:eastAsia="zh-CN"/>
        </w:rPr>
        <w:t>Q</w:t>
      </w:r>
      <w:r>
        <w:rPr>
          <w:rFonts w:hint="default"/>
          <w:color w:val="auto"/>
          <w:lang w:val="en-US" w:eastAsia="zh-CN"/>
        </w:rPr>
        <w:t>I</w:t>
      </w:r>
      <w:r>
        <w:rPr>
          <w:rFonts w:hint="eastAsia"/>
          <w:color w:val="auto"/>
          <w:lang w:val="en-US" w:eastAsia="zh-CN"/>
        </w:rPr>
        <w:t>=0.1，未达省级生态县</w:t>
      </w:r>
      <w:r>
        <w:rPr>
          <w:rFonts w:hint="default"/>
          <w:color w:val="auto"/>
          <w:lang w:val="en-US" w:eastAsia="zh-CN"/>
        </w:rPr>
        <w:t>建设</w:t>
      </w:r>
      <w:r>
        <w:rPr>
          <w:rFonts w:hint="eastAsia"/>
          <w:color w:val="auto"/>
          <w:lang w:val="en-US" w:eastAsia="zh-CN"/>
        </w:rPr>
        <w:t>标准，已达</w:t>
      </w:r>
      <w:r>
        <w:rPr>
          <w:rFonts w:hint="default"/>
          <w:color w:val="auto"/>
          <w:lang w:val="en-US" w:eastAsia="zh-CN"/>
        </w:rPr>
        <w:t>国家生态文明建设示范区建设</w:t>
      </w:r>
      <w:r>
        <w:rPr>
          <w:rFonts w:hint="eastAsia"/>
          <w:color w:val="auto"/>
          <w:lang w:val="en-US" w:eastAsia="zh-CN"/>
        </w:rPr>
        <w:t>标准。红谷滩区</w:t>
      </w:r>
      <w:r>
        <w:rPr>
          <w:rFonts w:hint="eastAsia" w:ascii="仿宋" w:hAnsi="仿宋" w:cs="仿宋"/>
          <w:color w:val="auto"/>
          <w:lang w:val="en-US" w:eastAsia="zh-CN"/>
        </w:rPr>
        <w:t>城市化率较高，人类活动强度较高，且因区内湿地占比少、林草覆盖度低等原因，EQI较创建省级生态县标准差距较大。红谷滩区</w:t>
      </w:r>
      <w:r>
        <w:rPr>
          <w:rFonts w:hint="eastAsia"/>
          <w:color w:val="auto"/>
          <w:lang w:val="en-US" w:eastAsia="zh-CN"/>
        </w:rPr>
        <w:t>已编制并发布《红谷滩区生态环境质量提升方案》，针对生态环境质量提升逐条提出应对措施，规划期内，红谷滩区</w:t>
      </w:r>
      <w:r>
        <w:rPr>
          <w:rFonts w:hint="default"/>
          <w:color w:val="auto"/>
          <w:lang w:val="en-US" w:eastAsia="zh-CN"/>
        </w:rPr>
        <w:t>生态</w:t>
      </w:r>
      <w:r>
        <w:rPr>
          <w:rFonts w:hint="eastAsia"/>
          <w:color w:val="auto"/>
          <w:lang w:val="en-US" w:eastAsia="zh-CN"/>
        </w:rPr>
        <w:t>质量</w:t>
      </w:r>
      <w:r>
        <w:rPr>
          <w:rFonts w:hint="default"/>
          <w:color w:val="auto"/>
          <w:lang w:val="en-US" w:eastAsia="zh-CN"/>
        </w:rPr>
        <w:t>指数</w:t>
      </w:r>
      <w:r>
        <w:rPr>
          <w:rFonts w:hint="eastAsia"/>
          <w:color w:val="auto"/>
          <w:lang w:val="en-US" w:eastAsia="zh-CN"/>
        </w:rPr>
        <w:t>可逐渐提升。</w:t>
      </w:r>
    </w:p>
    <w:p>
      <w:pPr>
        <w:pStyle w:val="21"/>
        <w:bidi w:val="0"/>
        <w:rPr>
          <w:rFonts w:hint="eastAsia"/>
          <w:color w:val="auto"/>
          <w:lang w:val="en-US" w:eastAsia="zh-CN"/>
        </w:rPr>
      </w:pPr>
      <w:r>
        <w:rPr>
          <w:rFonts w:hint="eastAsia"/>
          <w:color w:val="auto"/>
          <w:lang w:val="en-US" w:eastAsia="zh-CN"/>
        </w:rPr>
        <w:t>④森林/林草覆盖率</w:t>
      </w:r>
      <w:r>
        <w:rPr>
          <w:rFonts w:hint="default"/>
          <w:color w:val="auto"/>
          <w:lang w:val="en-US" w:eastAsia="zh-CN"/>
        </w:rPr>
        <w:t>（国家级、省级，</w:t>
      </w:r>
      <w:r>
        <w:rPr>
          <w:rFonts w:hint="eastAsia"/>
          <w:color w:val="auto"/>
          <w:lang w:val="en-US" w:eastAsia="zh-CN"/>
        </w:rPr>
        <w:t>参考</w:t>
      </w:r>
      <w:r>
        <w:rPr>
          <w:rFonts w:hint="default"/>
          <w:color w:val="auto"/>
          <w:lang w:val="en-US" w:eastAsia="zh-CN"/>
        </w:rPr>
        <w:t>性指标）</w:t>
      </w:r>
      <w:r>
        <w:rPr>
          <w:rFonts w:hint="eastAsia"/>
          <w:color w:val="auto"/>
          <w:lang w:val="en-US" w:eastAsia="zh-CN"/>
        </w:rPr>
        <w:t>：红谷滩区属于平原区，</w:t>
      </w:r>
      <w:r>
        <w:rPr>
          <w:rFonts w:hint="default"/>
          <w:color w:val="auto"/>
          <w:lang w:val="en-US" w:eastAsia="zh-CN"/>
        </w:rPr>
        <w:t>根据</w:t>
      </w:r>
      <w:r>
        <w:rPr>
          <w:rFonts w:hint="eastAsia"/>
          <w:color w:val="auto"/>
          <w:lang w:val="en-US" w:eastAsia="zh-CN"/>
        </w:rPr>
        <w:t>红谷滩区农业农村局（林业）</w:t>
      </w:r>
      <w:r>
        <w:rPr>
          <w:rFonts w:hint="default"/>
          <w:color w:val="auto"/>
          <w:lang w:val="en-US" w:eastAsia="zh-CN"/>
        </w:rPr>
        <w:t>提供数据，</w:t>
      </w:r>
      <w:r>
        <w:rPr>
          <w:rFonts w:hint="eastAsia"/>
          <w:color w:val="auto"/>
          <w:lang w:val="en-US" w:eastAsia="zh-CN"/>
        </w:rPr>
        <w:t>2022</w:t>
      </w:r>
      <w:r>
        <w:rPr>
          <w:rFonts w:hint="default"/>
          <w:color w:val="auto"/>
          <w:lang w:val="en-US" w:eastAsia="zh-CN"/>
        </w:rPr>
        <w:t>年</w:t>
      </w:r>
      <w:r>
        <w:rPr>
          <w:rFonts w:hint="eastAsia"/>
          <w:color w:val="auto"/>
          <w:lang w:val="en-US" w:eastAsia="zh-CN"/>
        </w:rPr>
        <w:t>红谷滩</w:t>
      </w:r>
      <w:r>
        <w:rPr>
          <w:rFonts w:hint="default"/>
          <w:color w:val="auto"/>
          <w:lang w:val="en-US" w:eastAsia="zh-CN"/>
        </w:rPr>
        <w:t>区</w:t>
      </w:r>
      <w:r>
        <w:rPr>
          <w:rFonts w:hint="eastAsia"/>
          <w:color w:val="auto"/>
          <w:lang w:val="en-US" w:eastAsia="zh-CN"/>
        </w:rPr>
        <w:t>森林覆盖率为12.1%，林草覆盖率为14.7%。红谷滩区</w:t>
      </w:r>
      <w:r>
        <w:rPr>
          <w:color w:val="auto"/>
        </w:rPr>
        <w:t>持续开展国土绿化、森林质量提升行动，提高森林资源质量。强化森林资源保护，提升林业执法能力，严厉打击破坏森林资源行为，做好林业有害生物防治和森林防火工作，森林</w:t>
      </w:r>
      <w:r>
        <w:rPr>
          <w:rFonts w:hint="eastAsia"/>
          <w:color w:val="auto"/>
          <w:lang w:val="en-US" w:eastAsia="zh-CN"/>
        </w:rPr>
        <w:t>/林草</w:t>
      </w:r>
      <w:r>
        <w:rPr>
          <w:color w:val="auto"/>
        </w:rPr>
        <w:t>覆盖率</w:t>
      </w:r>
      <w:r>
        <w:rPr>
          <w:rFonts w:hint="eastAsia"/>
          <w:color w:val="auto"/>
          <w:lang w:val="en-US" w:eastAsia="zh-CN"/>
        </w:rPr>
        <w:t>可</w:t>
      </w:r>
      <w:r>
        <w:rPr>
          <w:color w:val="auto"/>
        </w:rPr>
        <w:t>逐步提高</w:t>
      </w:r>
      <w:r>
        <w:rPr>
          <w:rFonts w:hint="eastAsia"/>
          <w:color w:val="auto"/>
          <w:lang w:eastAsia="zh-CN"/>
        </w:rPr>
        <w:t>。</w:t>
      </w:r>
    </w:p>
    <w:p>
      <w:pPr>
        <w:pStyle w:val="21"/>
        <w:bidi w:val="0"/>
        <w:rPr>
          <w:rFonts w:hint="eastAsia"/>
          <w:color w:val="auto"/>
          <w:lang w:val="en-US" w:eastAsia="zh-CN"/>
        </w:rPr>
      </w:pPr>
      <w:r>
        <w:rPr>
          <w:rFonts w:hint="eastAsia"/>
          <w:color w:val="auto"/>
          <w:lang w:val="en-US" w:eastAsia="zh-CN"/>
        </w:rPr>
        <w:t>⑤</w:t>
      </w:r>
      <w:r>
        <w:rPr>
          <w:rFonts w:hint="default"/>
          <w:color w:val="auto"/>
          <w:lang w:val="en-US" w:eastAsia="zh-CN"/>
        </w:rPr>
        <w:t>湿地保护率</w:t>
      </w:r>
      <w:r>
        <w:rPr>
          <w:rFonts w:hint="eastAsia"/>
          <w:color w:val="auto"/>
          <w:lang w:val="en-US" w:eastAsia="zh-CN"/>
        </w:rPr>
        <w:t>（省</w:t>
      </w:r>
      <w:r>
        <w:rPr>
          <w:rFonts w:hint="default"/>
          <w:color w:val="auto"/>
          <w:lang w:val="en-US" w:eastAsia="zh-CN"/>
        </w:rPr>
        <w:t>级，参考性指标</w:t>
      </w:r>
      <w:r>
        <w:rPr>
          <w:rFonts w:hint="eastAsia"/>
          <w:color w:val="auto"/>
          <w:lang w:val="en-US" w:eastAsia="zh-CN"/>
        </w:rPr>
        <w:t>）：红谷滩区</w:t>
      </w:r>
      <w:r>
        <w:rPr>
          <w:color w:val="auto"/>
        </w:rPr>
        <w:t>持续开展</w:t>
      </w:r>
      <w:r>
        <w:rPr>
          <w:rFonts w:hint="eastAsia"/>
          <w:color w:val="auto"/>
          <w:lang w:val="en-US" w:eastAsia="zh-CN"/>
        </w:rPr>
        <w:t>湿地保护</w:t>
      </w:r>
      <w:r>
        <w:rPr>
          <w:color w:val="auto"/>
        </w:rPr>
        <w:t>行动，</w:t>
      </w:r>
      <w:r>
        <w:rPr>
          <w:rFonts w:hint="eastAsia"/>
          <w:color w:val="auto"/>
          <w:lang w:val="en-US" w:eastAsia="zh-CN"/>
        </w:rPr>
        <w:t>通过建设湿地生态修复与生态科普示范项目等方式</w:t>
      </w:r>
      <w:r>
        <w:rPr>
          <w:color w:val="auto"/>
        </w:rPr>
        <w:t>，</w:t>
      </w:r>
      <w:r>
        <w:rPr>
          <w:rFonts w:hint="eastAsia"/>
          <w:color w:val="auto"/>
          <w:lang w:val="en-US" w:eastAsia="zh-CN"/>
        </w:rPr>
        <w:t>湿地保护率可</w:t>
      </w:r>
      <w:r>
        <w:rPr>
          <w:color w:val="auto"/>
        </w:rPr>
        <w:t>逐步提高</w:t>
      </w:r>
      <w:r>
        <w:rPr>
          <w:rFonts w:hint="eastAsia"/>
          <w:color w:val="auto"/>
          <w:lang w:eastAsia="zh-CN"/>
        </w:rPr>
        <w:t>。</w:t>
      </w:r>
    </w:p>
    <w:p>
      <w:pPr>
        <w:pStyle w:val="21"/>
        <w:bidi w:val="0"/>
        <w:rPr>
          <w:rFonts w:hint="eastAsia"/>
          <w:color w:val="auto"/>
          <w:lang w:val="en-US" w:eastAsia="zh-CN"/>
        </w:rPr>
      </w:pPr>
      <w:r>
        <w:rPr>
          <w:rFonts w:hint="eastAsia"/>
          <w:color w:val="auto"/>
          <w:lang w:val="en-US" w:eastAsia="zh-CN"/>
        </w:rPr>
        <w:t>⑥</w:t>
      </w:r>
      <w:r>
        <w:rPr>
          <w:rFonts w:hint="default"/>
          <w:color w:val="auto"/>
          <w:lang w:val="en-US" w:eastAsia="zh-CN"/>
        </w:rPr>
        <w:t>绿色有机农产品基地面积比例（省级，</w:t>
      </w:r>
      <w:r>
        <w:rPr>
          <w:rFonts w:hint="eastAsia"/>
          <w:color w:val="auto"/>
          <w:lang w:val="en-US" w:eastAsia="zh-CN"/>
        </w:rPr>
        <w:t>参考</w:t>
      </w:r>
      <w:r>
        <w:rPr>
          <w:rFonts w:hint="default"/>
          <w:color w:val="auto"/>
          <w:lang w:val="en-US" w:eastAsia="zh-CN"/>
        </w:rPr>
        <w:t>性指标）</w:t>
      </w:r>
      <w:r>
        <w:rPr>
          <w:rFonts w:hint="eastAsia"/>
          <w:color w:val="auto"/>
          <w:lang w:val="en-US" w:eastAsia="zh-CN"/>
        </w:rPr>
        <w:t>：根据红谷滩区农业农村局提供资料，暂无区域内</w:t>
      </w:r>
      <w:r>
        <w:rPr>
          <w:rFonts w:hint="default"/>
          <w:color w:val="auto"/>
          <w:lang w:val="en-US" w:eastAsia="zh-CN"/>
        </w:rPr>
        <w:t>绿色有机农产品基地面积</w:t>
      </w:r>
      <w:r>
        <w:rPr>
          <w:rFonts w:hint="eastAsia"/>
          <w:color w:val="auto"/>
          <w:lang w:val="en-US" w:eastAsia="zh-CN"/>
        </w:rPr>
        <w:t>的统计数据，今年已开始相关的统计和申报工作，预计年底可获取相关数据。</w:t>
      </w:r>
    </w:p>
    <w:p>
      <w:pPr>
        <w:pStyle w:val="21"/>
        <w:bidi w:val="0"/>
        <w:rPr>
          <w:rFonts w:hint="default"/>
          <w:color w:val="auto"/>
          <w:lang w:val="en-US" w:eastAsia="zh-CN"/>
        </w:rPr>
      </w:pPr>
      <w:r>
        <w:rPr>
          <w:rFonts w:hint="eastAsia" w:ascii="仿宋" w:hAnsi="仿宋" w:eastAsia="仿宋" w:cs="仿宋"/>
          <w:color w:val="auto"/>
          <w:lang w:val="en-US" w:eastAsia="zh-CN"/>
        </w:rPr>
        <w:t>⑦</w:t>
      </w:r>
      <w:r>
        <w:rPr>
          <w:rFonts w:hint="default"/>
          <w:color w:val="auto"/>
          <w:lang w:val="en-US" w:eastAsia="zh-CN"/>
        </w:rPr>
        <w:t>农村生活污水治理率</w:t>
      </w:r>
      <w:r>
        <w:rPr>
          <w:rFonts w:hint="eastAsia"/>
          <w:color w:val="auto"/>
          <w:lang w:val="en-US" w:eastAsia="zh-CN"/>
        </w:rPr>
        <w:t>（</w:t>
      </w:r>
      <w:r>
        <w:rPr>
          <w:rFonts w:hint="default"/>
          <w:color w:val="auto"/>
          <w:lang w:val="en-US" w:eastAsia="zh-CN"/>
        </w:rPr>
        <w:t>国家级，参考性指标</w:t>
      </w:r>
      <w:r>
        <w:rPr>
          <w:rFonts w:hint="eastAsia"/>
          <w:color w:val="auto"/>
          <w:lang w:val="en-US" w:eastAsia="zh-CN"/>
        </w:rPr>
        <w:t>）：红谷滩区完成了15个行政村的农村生活污水治理设施建设，另有5个行政村通过进入集镇或市政管网的方式处理农村生活污水，生活污水处理率达到37%，受益人口3710人。</w:t>
      </w:r>
      <w:r>
        <w:rPr>
          <w:rFonts w:hint="default"/>
          <w:color w:val="auto"/>
          <w:lang w:val="en-US" w:eastAsia="zh-CN"/>
        </w:rPr>
        <w:t>根据红谷滩</w:t>
      </w:r>
      <w:r>
        <w:rPr>
          <w:rFonts w:hint="eastAsia"/>
          <w:color w:val="auto"/>
          <w:lang w:val="en-US" w:eastAsia="zh-CN"/>
        </w:rPr>
        <w:t>区</w:t>
      </w:r>
      <w:r>
        <w:rPr>
          <w:rFonts w:hint="default"/>
          <w:color w:val="auto"/>
          <w:lang w:val="en-US" w:eastAsia="zh-CN"/>
        </w:rPr>
        <w:t>农村生活污水治理</w:t>
      </w:r>
      <w:r>
        <w:rPr>
          <w:rFonts w:hint="eastAsia"/>
          <w:color w:val="auto"/>
          <w:lang w:val="en-US" w:eastAsia="zh-CN"/>
        </w:rPr>
        <w:t>现状及</w:t>
      </w:r>
      <w:r>
        <w:rPr>
          <w:rFonts w:hint="default"/>
          <w:color w:val="auto"/>
          <w:lang w:val="en-US" w:eastAsia="zh-CN"/>
        </w:rPr>
        <w:t>《南昌市农村生活污水治理行动方案</w:t>
      </w:r>
      <w:r>
        <w:rPr>
          <w:rFonts w:hint="eastAsia"/>
          <w:color w:val="auto"/>
          <w:lang w:val="en-US" w:eastAsia="zh-CN"/>
        </w:rPr>
        <w:t>（</w:t>
      </w:r>
      <w:r>
        <w:rPr>
          <w:rFonts w:hint="default"/>
          <w:color w:val="auto"/>
          <w:lang w:val="en-US" w:eastAsia="zh-CN"/>
        </w:rPr>
        <w:t>2021-2025年</w:t>
      </w:r>
      <w:r>
        <w:rPr>
          <w:rFonts w:hint="eastAsia"/>
          <w:color w:val="auto"/>
          <w:lang w:val="en-US" w:eastAsia="zh-CN"/>
        </w:rPr>
        <w:t>）</w:t>
      </w:r>
      <w:r>
        <w:rPr>
          <w:rFonts w:hint="default"/>
          <w:color w:val="auto"/>
          <w:lang w:val="en-US" w:eastAsia="zh-CN"/>
        </w:rPr>
        <w:t>》</w:t>
      </w:r>
      <w:r>
        <w:rPr>
          <w:rFonts w:hint="eastAsia"/>
          <w:color w:val="auto"/>
          <w:lang w:val="en-US" w:eastAsia="zh-CN"/>
        </w:rPr>
        <w:t>，预计</w:t>
      </w:r>
      <w:r>
        <w:rPr>
          <w:rFonts w:hint="default"/>
          <w:color w:val="auto"/>
          <w:lang w:val="en-US" w:eastAsia="zh-CN"/>
        </w:rPr>
        <w:t>2025年</w:t>
      </w:r>
      <w:r>
        <w:rPr>
          <w:rFonts w:hint="eastAsia"/>
          <w:color w:val="auto"/>
          <w:lang w:val="en-US" w:eastAsia="zh-CN"/>
        </w:rPr>
        <w:t>红谷滩区</w:t>
      </w:r>
      <w:r>
        <w:rPr>
          <w:rFonts w:hint="default"/>
          <w:color w:val="auto"/>
          <w:lang w:val="en-US" w:eastAsia="zh-CN"/>
        </w:rPr>
        <w:t>农村生活污水治理率</w:t>
      </w:r>
      <w:r>
        <w:rPr>
          <w:rFonts w:hint="eastAsia"/>
          <w:color w:val="auto"/>
          <w:lang w:val="en-US" w:eastAsia="zh-CN"/>
        </w:rPr>
        <w:t>可提升至51.9</w:t>
      </w:r>
      <w:r>
        <w:rPr>
          <w:rFonts w:hint="default"/>
          <w:color w:val="auto"/>
          <w:lang w:val="en-US" w:eastAsia="zh-CN"/>
        </w:rPr>
        <w:t>%</w:t>
      </w:r>
      <w:r>
        <w:rPr>
          <w:rFonts w:hint="eastAsia"/>
          <w:color w:val="auto"/>
          <w:lang w:val="en-US" w:eastAsia="zh-CN"/>
        </w:rPr>
        <w:t>，</w:t>
      </w:r>
      <w:r>
        <w:rPr>
          <w:rFonts w:hint="default"/>
          <w:color w:val="auto"/>
          <w:lang w:val="en-US" w:eastAsia="zh-CN"/>
        </w:rPr>
        <w:t>20</w:t>
      </w:r>
      <w:r>
        <w:rPr>
          <w:rFonts w:hint="eastAsia"/>
          <w:color w:val="auto"/>
          <w:lang w:val="en-US" w:eastAsia="zh-CN"/>
        </w:rPr>
        <w:t>30</w:t>
      </w:r>
      <w:r>
        <w:rPr>
          <w:rFonts w:hint="default"/>
          <w:color w:val="auto"/>
          <w:lang w:val="en-US" w:eastAsia="zh-CN"/>
        </w:rPr>
        <w:t>年</w:t>
      </w:r>
      <w:r>
        <w:rPr>
          <w:rFonts w:hint="eastAsia"/>
          <w:color w:val="auto"/>
          <w:lang w:val="en-US" w:eastAsia="zh-CN"/>
        </w:rPr>
        <w:t>红谷滩区</w:t>
      </w:r>
      <w:r>
        <w:rPr>
          <w:rFonts w:hint="default"/>
          <w:color w:val="auto"/>
          <w:lang w:val="en-US" w:eastAsia="zh-CN"/>
        </w:rPr>
        <w:t>农村生活污水治理率</w:t>
      </w:r>
      <w:r>
        <w:rPr>
          <w:rFonts w:hint="eastAsia"/>
          <w:color w:val="auto"/>
          <w:lang w:val="en-US" w:eastAsia="zh-CN"/>
        </w:rPr>
        <w:t>可提升至74.1</w:t>
      </w:r>
      <w:r>
        <w:rPr>
          <w:rFonts w:hint="default"/>
          <w:color w:val="auto"/>
          <w:lang w:val="en-US" w:eastAsia="zh-CN"/>
        </w:rPr>
        <w:t>%</w:t>
      </w:r>
      <w:r>
        <w:rPr>
          <w:rFonts w:hint="eastAsia"/>
          <w:color w:val="auto"/>
          <w:lang w:val="en-US" w:eastAsia="zh-CN"/>
        </w:rPr>
        <w:t>，满足指标≥50%的要求。</w:t>
      </w:r>
    </w:p>
    <w:p>
      <w:pPr>
        <w:pStyle w:val="21"/>
        <w:bidi w:val="0"/>
        <w:rPr>
          <w:rFonts w:hint="default"/>
          <w:color w:val="auto"/>
          <w:lang w:val="en-US" w:eastAsia="zh-CN"/>
        </w:rPr>
      </w:pPr>
      <w:r>
        <w:rPr>
          <w:rFonts w:hint="eastAsia"/>
          <w:color w:val="auto"/>
          <w:lang w:val="en-US" w:eastAsia="zh-CN"/>
        </w:rPr>
        <w:t>⑧</w:t>
      </w:r>
      <w:r>
        <w:rPr>
          <w:rFonts w:hint="default"/>
          <w:color w:val="auto"/>
          <w:lang w:val="en-US" w:eastAsia="zh-CN"/>
        </w:rPr>
        <w:t>农村无害化卫生厕所普及率</w:t>
      </w:r>
      <w:r>
        <w:rPr>
          <w:rFonts w:hint="eastAsia"/>
          <w:color w:val="auto"/>
          <w:lang w:val="en-US" w:eastAsia="zh-CN"/>
        </w:rPr>
        <w:t>（</w:t>
      </w:r>
      <w:r>
        <w:rPr>
          <w:rFonts w:hint="default"/>
          <w:color w:val="auto"/>
          <w:lang w:val="en-US" w:eastAsia="zh-CN"/>
        </w:rPr>
        <w:t>国家级</w:t>
      </w:r>
      <w:r>
        <w:rPr>
          <w:rFonts w:hint="eastAsia"/>
          <w:color w:val="auto"/>
          <w:lang w:val="en-US" w:eastAsia="zh-CN"/>
        </w:rPr>
        <w:t>已达标、省级未达标</w:t>
      </w:r>
      <w:r>
        <w:rPr>
          <w:rFonts w:hint="default"/>
          <w:color w:val="auto"/>
          <w:lang w:val="en-US" w:eastAsia="zh-CN"/>
        </w:rPr>
        <w:t>，参考性指标</w:t>
      </w:r>
      <w:r>
        <w:rPr>
          <w:rFonts w:hint="eastAsia"/>
          <w:color w:val="auto"/>
          <w:lang w:val="en-US" w:eastAsia="zh-CN"/>
        </w:rPr>
        <w:t>）：红谷滩区持续推进</w:t>
      </w:r>
      <w:r>
        <w:rPr>
          <w:rFonts w:hint="default"/>
          <w:color w:val="auto"/>
          <w:lang w:val="en-US" w:eastAsia="zh-CN"/>
        </w:rPr>
        <w:t>农村</w:t>
      </w:r>
      <w:r>
        <w:rPr>
          <w:rFonts w:hint="eastAsia"/>
          <w:color w:val="auto"/>
          <w:lang w:val="en-US" w:eastAsia="zh-CN"/>
        </w:rPr>
        <w:t>“</w:t>
      </w:r>
      <w:r>
        <w:rPr>
          <w:rFonts w:hint="default"/>
          <w:color w:val="auto"/>
          <w:lang w:val="en-US" w:eastAsia="zh-CN"/>
        </w:rPr>
        <w:t>厕所革命</w:t>
      </w:r>
      <w:r>
        <w:rPr>
          <w:rFonts w:hint="eastAsia"/>
          <w:color w:val="auto"/>
          <w:lang w:val="en-US" w:eastAsia="zh-CN"/>
        </w:rPr>
        <w:t>”，该指标易达到</w:t>
      </w:r>
      <w:r>
        <w:rPr>
          <w:rFonts w:hint="default"/>
          <w:color w:val="auto"/>
          <w:lang w:val="en-US" w:eastAsia="zh-CN"/>
        </w:rPr>
        <w:t>。</w:t>
      </w:r>
    </w:p>
    <w:p>
      <w:pPr>
        <w:rPr>
          <w:rFonts w:hint="eastAsia" w:ascii="Times New Roman" w:hAnsi="Times New Roman"/>
          <w:color w:val="auto"/>
          <w:lang w:val="en-US" w:eastAsia="zh-CN"/>
        </w:rPr>
      </w:pPr>
      <w:bookmarkStart w:id="172" w:name="_Toc132363089"/>
      <w:r>
        <w:rPr>
          <w:rFonts w:hint="eastAsia" w:ascii="Times New Roman" w:hAnsi="Times New Roman"/>
          <w:color w:val="auto"/>
          <w:lang w:val="en-US" w:eastAsia="zh-CN"/>
        </w:rPr>
        <w:br w:type="page"/>
      </w:r>
    </w:p>
    <w:p>
      <w:pPr>
        <w:pStyle w:val="19"/>
        <w:bidi w:val="0"/>
        <w:ind w:left="0" w:leftChars="0"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 xml:space="preserve">  </w:t>
      </w:r>
      <w:bookmarkStart w:id="173" w:name="_Toc12859"/>
      <w:bookmarkStart w:id="174" w:name="_Toc4401"/>
      <w:bookmarkStart w:id="175" w:name="_Toc10216"/>
      <w:bookmarkStart w:id="176" w:name="_Toc18444"/>
      <w:r>
        <w:rPr>
          <w:rFonts w:hint="eastAsia" w:ascii="Times New Roman" w:hAnsi="Times New Roman"/>
          <w:color w:val="auto"/>
          <w:lang w:val="en-US" w:eastAsia="zh-CN"/>
        </w:rPr>
        <w:t>规划任务与措施</w:t>
      </w:r>
      <w:bookmarkEnd w:id="172"/>
      <w:bookmarkEnd w:id="173"/>
      <w:bookmarkEnd w:id="174"/>
      <w:bookmarkEnd w:id="175"/>
      <w:bookmarkEnd w:id="176"/>
    </w:p>
    <w:p>
      <w:pPr>
        <w:pStyle w:val="21"/>
        <w:bidi w:val="0"/>
        <w:rPr>
          <w:rFonts w:hint="default"/>
          <w:color w:val="auto"/>
          <w:lang w:val="en-US" w:eastAsia="zh-CN"/>
        </w:rPr>
      </w:pPr>
      <w:bookmarkStart w:id="177" w:name="_Toc2648"/>
      <w:r>
        <w:rPr>
          <w:rFonts w:hint="default"/>
          <w:color w:val="auto"/>
          <w:lang w:val="en-US" w:eastAsia="zh-CN"/>
        </w:rPr>
        <w:t>贯彻落实习近平生态文明思想和习近平总书记</w:t>
      </w:r>
      <w:r>
        <w:rPr>
          <w:rFonts w:hint="eastAsia"/>
          <w:color w:val="auto"/>
          <w:lang w:val="en-US" w:eastAsia="zh-CN"/>
        </w:rPr>
        <w:t>考察</w:t>
      </w:r>
      <w:r>
        <w:rPr>
          <w:rFonts w:hint="default"/>
          <w:color w:val="auto"/>
          <w:lang w:val="en-US" w:eastAsia="zh-CN"/>
        </w:rPr>
        <w:t>江西重要讲话精神，深入践行</w:t>
      </w:r>
      <w:r>
        <w:rPr>
          <w:rFonts w:hint="eastAsia"/>
          <w:color w:val="auto"/>
          <w:lang w:val="en-US" w:eastAsia="zh-CN"/>
        </w:rPr>
        <w:t>“</w:t>
      </w:r>
      <w:r>
        <w:rPr>
          <w:rFonts w:hint="default"/>
          <w:color w:val="auto"/>
          <w:lang w:val="en-US" w:eastAsia="zh-CN"/>
        </w:rPr>
        <w:t>绿水青山就是金山银山</w:t>
      </w:r>
      <w:r>
        <w:rPr>
          <w:rFonts w:hint="eastAsia"/>
          <w:color w:val="auto"/>
          <w:lang w:val="en-US" w:eastAsia="zh-CN"/>
        </w:rPr>
        <w:t>”</w:t>
      </w:r>
      <w:r>
        <w:rPr>
          <w:rFonts w:hint="default"/>
          <w:color w:val="auto"/>
          <w:lang w:val="en-US" w:eastAsia="zh-CN"/>
        </w:rPr>
        <w:t>发展理念，正确处理生态环境保护与</w:t>
      </w:r>
      <w:r>
        <w:rPr>
          <w:rFonts w:hint="eastAsia"/>
          <w:color w:val="auto"/>
          <w:lang w:val="en-US" w:eastAsia="zh-CN"/>
        </w:rPr>
        <w:t>经济</w:t>
      </w:r>
      <w:r>
        <w:rPr>
          <w:rFonts w:hint="default"/>
          <w:color w:val="auto"/>
          <w:lang w:val="en-US" w:eastAsia="zh-CN"/>
        </w:rPr>
        <w:t>社会发展关系，守住生态保护红线、把好环境质量底线、用好资源利用上限。把生态文明建设放在突出的战略位置，融入经济建设、政治建设、文化建设、社会建设各方面和全过程，指导国土空间开发格局优化、生态经济与产业、生态环保基础设施与能力建设、生态文化制度建设等领域协同发展，为打造美丽中国</w:t>
      </w:r>
      <w:r>
        <w:rPr>
          <w:rFonts w:hint="eastAsia"/>
          <w:color w:val="auto"/>
          <w:lang w:val="en-US" w:eastAsia="zh-CN"/>
        </w:rPr>
        <w:t>“</w:t>
      </w:r>
      <w:r>
        <w:rPr>
          <w:rFonts w:hint="default"/>
          <w:color w:val="auto"/>
          <w:lang w:val="en-US" w:eastAsia="zh-CN"/>
        </w:rPr>
        <w:t>江西样板</w:t>
      </w:r>
      <w:r>
        <w:rPr>
          <w:rFonts w:hint="eastAsia"/>
          <w:color w:val="auto"/>
          <w:lang w:val="en-US" w:eastAsia="zh-CN"/>
        </w:rPr>
        <w:t>”</w:t>
      </w:r>
      <w:r>
        <w:rPr>
          <w:rFonts w:hint="default"/>
          <w:color w:val="auto"/>
          <w:lang w:val="en-US" w:eastAsia="zh-CN"/>
        </w:rPr>
        <w:t>贡献红谷滩力量。</w:t>
      </w:r>
    </w:p>
    <w:bookmarkEnd w:id="177"/>
    <w:p>
      <w:pPr>
        <w:pStyle w:val="20"/>
        <w:numPr>
          <w:ilvl w:val="1"/>
          <w:numId w:val="0"/>
        </w:numPr>
        <w:bidi w:val="0"/>
        <w:ind w:leftChars="0"/>
        <w:rPr>
          <w:rFonts w:hint="eastAsia" w:ascii="仿宋" w:hAnsi="仿宋" w:eastAsia="仿宋" w:cs="仿宋"/>
          <w:color w:val="auto"/>
          <w:lang w:val="en-US" w:eastAsia="zh-CN"/>
        </w:rPr>
      </w:pPr>
      <w:bookmarkStart w:id="178" w:name="_Toc132363090"/>
      <w:bookmarkStart w:id="179" w:name="_Toc19193"/>
      <w:bookmarkStart w:id="180" w:name="_Toc10466"/>
      <w:bookmarkStart w:id="181" w:name="_Toc9007"/>
      <w:bookmarkStart w:id="182" w:name="_Toc5562"/>
      <w:r>
        <w:rPr>
          <w:rFonts w:hint="eastAsia" w:ascii="仿宋" w:hAnsi="仿宋" w:eastAsia="仿宋" w:cs="仿宋"/>
          <w:color w:val="auto"/>
          <w:lang w:val="en-US" w:eastAsia="zh-CN"/>
        </w:rPr>
        <w:t>（一）生态制度体系建设</w:t>
      </w:r>
      <w:bookmarkEnd w:id="178"/>
      <w:bookmarkEnd w:id="179"/>
      <w:bookmarkEnd w:id="180"/>
      <w:bookmarkEnd w:id="181"/>
      <w:bookmarkEnd w:id="182"/>
    </w:p>
    <w:p>
      <w:pPr>
        <w:pStyle w:val="21"/>
        <w:bidi w:val="0"/>
        <w:rPr>
          <w:rFonts w:hint="default"/>
          <w:color w:val="auto"/>
          <w:lang w:val="en-US" w:eastAsia="zh-CN"/>
        </w:rPr>
      </w:pPr>
      <w:r>
        <w:rPr>
          <w:rFonts w:hint="default"/>
          <w:color w:val="auto"/>
          <w:lang w:val="en-US" w:eastAsia="zh-CN"/>
        </w:rPr>
        <w:t>深化体制机制改革，持续推进环境治理现代化</w:t>
      </w:r>
      <w:r>
        <w:rPr>
          <w:rFonts w:hint="eastAsia"/>
          <w:color w:val="auto"/>
          <w:lang w:val="en-US" w:eastAsia="zh-CN"/>
        </w:rPr>
        <w:t>。</w:t>
      </w:r>
      <w:r>
        <w:rPr>
          <w:rFonts w:hint="default"/>
          <w:color w:val="auto"/>
          <w:lang w:val="en-US" w:eastAsia="zh-CN"/>
        </w:rPr>
        <w:t>健全生态环境治理体系与治理机制，加强生态环境监管能力建设，构建党委领导、政府主导、企业主体、社会组织和公众共同参与的现代环境治理体系，把制度优势转化为治理效能。健全完善生态环境治理市场机制与法治政策体系，加强监管能力建设，创新环境治理模式，全面提升环境治理能力水平。</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color w:val="auto"/>
        </w:rPr>
      </w:pPr>
      <w:bookmarkStart w:id="183" w:name="_Toc7567"/>
      <w:bookmarkStart w:id="184" w:name="_Toc9767"/>
      <w:bookmarkStart w:id="185" w:name="_Toc25508"/>
      <w:bookmarkStart w:id="186" w:name="_Toc11551"/>
      <w:r>
        <w:rPr>
          <w:rFonts w:hint="eastAsia"/>
          <w:color w:val="auto"/>
          <w:lang w:val="en-US" w:eastAsia="zh-CN"/>
        </w:rPr>
        <w:t>1.实行最严格的</w:t>
      </w:r>
      <w:r>
        <w:rPr>
          <w:color w:val="auto"/>
          <w:lang w:val="en-US" w:eastAsia="zh-CN"/>
        </w:rPr>
        <w:t>生态环境保护制度</w:t>
      </w:r>
      <w:bookmarkEnd w:id="183"/>
      <w:bookmarkEnd w:id="184"/>
      <w:bookmarkEnd w:id="185"/>
      <w:bookmarkEnd w:id="186"/>
      <w:r>
        <w:rPr>
          <w:color w:val="auto"/>
          <w:lang w:val="en-US" w:eastAsia="zh-CN"/>
        </w:rPr>
        <w:t xml:space="preserve"> </w:t>
      </w:r>
    </w:p>
    <w:p>
      <w:pPr>
        <w:pStyle w:val="21"/>
        <w:bidi w:val="0"/>
        <w:rPr>
          <w:rFonts w:hint="eastAsia"/>
          <w:color w:val="auto"/>
          <w:lang w:eastAsia="zh-CN"/>
        </w:rPr>
      </w:pPr>
      <w:r>
        <w:rPr>
          <w:rFonts w:hint="eastAsia"/>
          <w:b/>
          <w:bCs/>
          <w:color w:val="auto"/>
          <w:lang w:val="en-US" w:eastAsia="zh-CN"/>
        </w:rPr>
        <w:t>强化“三线一单”管控。</w:t>
      </w:r>
      <w:r>
        <w:rPr>
          <w:rFonts w:hint="eastAsia"/>
          <w:color w:val="auto"/>
          <w:lang w:val="en-US" w:eastAsia="zh-CN"/>
        </w:rPr>
        <w:t>严格落实“三线一单”管控</w:t>
      </w:r>
      <w:r>
        <w:rPr>
          <w:rFonts w:hint="eastAsia"/>
          <w:color w:val="auto"/>
          <w:lang w:eastAsia="zh-CN"/>
        </w:rPr>
        <w:t>，强化“三线一单”的刚性约束，</w:t>
      </w:r>
      <w:r>
        <w:rPr>
          <w:rFonts w:hint="eastAsia"/>
          <w:color w:val="auto"/>
        </w:rPr>
        <w:t>将生态保护红线、环境质量底线、资源利用上线的约束落实到环境管控单元，严格执行生态环境准入清单。对划定的生态保护红线范围内的土地，实行严格保护，确保生态功能不减低、面积不减少、性质不改变。</w:t>
      </w:r>
      <w:r>
        <w:rPr>
          <w:rFonts w:hint="eastAsia"/>
          <w:color w:val="auto"/>
          <w:lang w:eastAsia="zh-CN"/>
        </w:rPr>
        <w:t>将</w:t>
      </w:r>
      <w:r>
        <w:rPr>
          <w:rFonts w:hint="eastAsia"/>
          <w:color w:val="auto"/>
          <w:lang w:val="en-US" w:eastAsia="zh-CN"/>
        </w:rPr>
        <w:t>“三线一单”</w:t>
      </w:r>
      <w:r>
        <w:rPr>
          <w:rFonts w:hint="eastAsia"/>
          <w:color w:val="auto"/>
          <w:lang w:eastAsia="zh-CN"/>
        </w:rPr>
        <w:t>作为</w:t>
      </w:r>
      <w:r>
        <w:rPr>
          <w:rFonts w:hint="eastAsia"/>
          <w:color w:val="auto"/>
          <w:lang w:val="en-US" w:eastAsia="zh-CN"/>
        </w:rPr>
        <w:t>红谷滩</w:t>
      </w:r>
      <w:r>
        <w:rPr>
          <w:rFonts w:hint="eastAsia"/>
          <w:color w:val="auto"/>
          <w:lang w:eastAsia="zh-CN"/>
        </w:rPr>
        <w:t>区规划资源开发、产业布局和结构调整、城镇建设以及重大项目选址的重要依据，并在政策制定、规划编制、执法监管过程中做好应用，严把生态环境准入关。严厉查处生态控制线内违法建设行为。严格实施资源环境生态保护红线管控，严守生态保护红线，将各类开发活动限制在资源环境承载能力之内。</w:t>
      </w:r>
    </w:p>
    <w:p>
      <w:pPr>
        <w:pStyle w:val="21"/>
        <w:bidi w:val="0"/>
        <w:rPr>
          <w:rFonts w:hint="eastAsia"/>
          <w:color w:val="auto"/>
          <w:lang w:val="en-US" w:eastAsia="zh-CN"/>
        </w:rPr>
      </w:pPr>
      <w:r>
        <w:rPr>
          <w:rFonts w:hint="default"/>
          <w:b/>
          <w:bCs/>
          <w:color w:val="auto"/>
          <w:lang w:val="en-US" w:eastAsia="zh-CN"/>
        </w:rPr>
        <w:t>健全河湖、森林管理与保护制度</w:t>
      </w:r>
      <w:r>
        <w:rPr>
          <w:rFonts w:hint="eastAsia"/>
          <w:b/>
          <w:bCs/>
          <w:color w:val="auto"/>
          <w:lang w:val="en-US" w:eastAsia="zh-CN"/>
        </w:rPr>
        <w:t>。</w:t>
      </w:r>
      <w:r>
        <w:rPr>
          <w:rFonts w:hint="default"/>
          <w:color w:val="auto"/>
          <w:lang w:val="en-US" w:eastAsia="zh-CN"/>
        </w:rPr>
        <w:t>打造河湖长制、林长制升级版，推动河湖长、林长工作标准化、法制化建设，着重完善自然资源开发利用管理体系。完善</w:t>
      </w:r>
      <w:r>
        <w:rPr>
          <w:rFonts w:hint="eastAsia"/>
          <w:color w:val="auto"/>
          <w:lang w:val="en-US" w:eastAsia="zh-CN"/>
        </w:rPr>
        <w:t>“</w:t>
      </w:r>
      <w:r>
        <w:rPr>
          <w:rFonts w:hint="default"/>
          <w:color w:val="auto"/>
          <w:lang w:val="en-US" w:eastAsia="zh-CN"/>
        </w:rPr>
        <w:t>一河</w:t>
      </w:r>
      <w:r>
        <w:rPr>
          <w:rFonts w:hint="eastAsia"/>
          <w:color w:val="auto"/>
          <w:lang w:val="en-US" w:eastAsia="zh-CN"/>
        </w:rPr>
        <w:t>（</w:t>
      </w:r>
      <w:r>
        <w:rPr>
          <w:rFonts w:hint="default"/>
          <w:color w:val="auto"/>
          <w:lang w:val="en-US" w:eastAsia="zh-CN"/>
        </w:rPr>
        <w:t>湖</w:t>
      </w:r>
      <w:r>
        <w:rPr>
          <w:rFonts w:hint="eastAsia"/>
          <w:color w:val="auto"/>
          <w:lang w:val="en-US" w:eastAsia="zh-CN"/>
        </w:rPr>
        <w:t>）</w:t>
      </w:r>
      <w:r>
        <w:rPr>
          <w:rFonts w:hint="default"/>
          <w:color w:val="auto"/>
          <w:lang w:val="en-US" w:eastAsia="zh-CN"/>
        </w:rPr>
        <w:t>一策</w:t>
      </w:r>
      <w:r>
        <w:rPr>
          <w:rFonts w:hint="eastAsia"/>
          <w:color w:val="auto"/>
          <w:lang w:val="en-US" w:eastAsia="zh-CN"/>
        </w:rPr>
        <w:t>”</w:t>
      </w:r>
      <w:r>
        <w:rPr>
          <w:rFonts w:hint="default"/>
          <w:color w:val="auto"/>
          <w:lang w:val="en-US" w:eastAsia="zh-CN"/>
        </w:rPr>
        <w:t>，以问题为导向，推进专项治理工程开展，制定水域及岸线管理机制，依托生态环境网格化监管体系建立日常巡护监管机制，建立乡镇用水总量分配制度。坚持机制创新，积极探索</w:t>
      </w:r>
      <w:r>
        <w:rPr>
          <w:rFonts w:hint="eastAsia"/>
          <w:color w:val="auto"/>
          <w:lang w:val="en-US" w:eastAsia="zh-CN"/>
        </w:rPr>
        <w:t>“</w:t>
      </w:r>
      <w:r>
        <w:rPr>
          <w:rFonts w:hint="default"/>
          <w:color w:val="auto"/>
          <w:lang w:val="en-US" w:eastAsia="zh-CN"/>
        </w:rPr>
        <w:t>河长制</w:t>
      </w:r>
      <w:r>
        <w:rPr>
          <w:rFonts w:hint="eastAsia"/>
          <w:color w:val="auto"/>
          <w:lang w:val="en-US" w:eastAsia="zh-CN"/>
        </w:rPr>
        <w:t>”</w:t>
      </w:r>
      <w:r>
        <w:rPr>
          <w:rFonts w:hint="default"/>
          <w:color w:val="auto"/>
          <w:lang w:val="en-US" w:eastAsia="zh-CN"/>
        </w:rPr>
        <w:t>信息化建设。建立动态考核指标体系构建机制。实现河长制、湖长制由全面建立到全面见效。加强生态护林员队伍建设。建立完善智慧管理系统，推动巡护系统平台和</w:t>
      </w:r>
      <w:r>
        <w:rPr>
          <w:rFonts w:hint="eastAsia"/>
          <w:color w:val="auto"/>
          <w:lang w:val="en-US" w:eastAsia="zh-CN"/>
        </w:rPr>
        <w:t>“</w:t>
      </w:r>
      <w:r>
        <w:rPr>
          <w:rFonts w:hint="default"/>
          <w:color w:val="auto"/>
          <w:lang w:val="en-US" w:eastAsia="zh-CN"/>
        </w:rPr>
        <w:t>林长通 APP</w:t>
      </w:r>
      <w:r>
        <w:rPr>
          <w:rFonts w:hint="eastAsia"/>
          <w:color w:val="auto"/>
          <w:lang w:val="en-US" w:eastAsia="zh-CN"/>
        </w:rPr>
        <w:t>”</w:t>
      </w:r>
      <w:r>
        <w:rPr>
          <w:rFonts w:hint="default"/>
          <w:color w:val="auto"/>
          <w:lang w:val="en-US" w:eastAsia="zh-CN"/>
        </w:rPr>
        <w:t>终端应用，强化森林资源源头管理，提升森林资源监管水平。</w:t>
      </w:r>
    </w:p>
    <w:p>
      <w:pPr>
        <w:pStyle w:val="21"/>
        <w:bidi w:val="0"/>
        <w:rPr>
          <w:rFonts w:hint="eastAsia"/>
          <w:color w:val="auto"/>
          <w:lang w:val="en-US" w:eastAsia="zh-CN"/>
        </w:rPr>
      </w:pPr>
      <w:r>
        <w:rPr>
          <w:rFonts w:hint="eastAsia"/>
          <w:b/>
          <w:bCs/>
          <w:color w:val="auto"/>
          <w:lang w:val="en-US" w:eastAsia="zh-CN"/>
        </w:rPr>
        <w:t>全面落实固定污染源排污许可证制度。</w:t>
      </w:r>
      <w:r>
        <w:rPr>
          <w:rFonts w:hint="eastAsia"/>
          <w:color w:val="auto"/>
          <w:lang w:val="en-US" w:eastAsia="zh-CN"/>
        </w:rPr>
        <w:t>建立以排污许可为核心的固定污染源环境管理制度，督促企业依法主动申领排污许可证，实现固定污染源排污许可证“全覆盖”。依法对企事业单位和其他生产经营者实行排污许可重点管理、简化管理和登记管理。加强对持证企业排污行为的监督检查。</w:t>
      </w:r>
      <w:r>
        <w:rPr>
          <w:rFonts w:hint="default" w:ascii="Times New Roman" w:hAnsi="Times New Roman" w:cs="Times New Roman"/>
          <w:color w:val="auto"/>
          <w:highlight w:val="none"/>
          <w:lang w:val="en-US" w:eastAsia="zh-CN"/>
        </w:rPr>
        <w:t>规范核发、年审、监管等管理流程和要求，有效整合现有污染源管理制度，实现排污单位在建设、生产运营、停产关闭等不同生命周期阶段的全过程管理。</w:t>
      </w:r>
    </w:p>
    <w:p>
      <w:pPr>
        <w:pStyle w:val="21"/>
        <w:bidi w:val="0"/>
        <w:rPr>
          <w:color w:val="auto"/>
        </w:rPr>
      </w:pPr>
      <w:r>
        <w:rPr>
          <w:rFonts w:hint="eastAsia"/>
          <w:b/>
          <w:bCs/>
          <w:color w:val="auto"/>
          <w:lang w:val="en-US" w:eastAsia="zh-CN"/>
        </w:rPr>
        <w:t>健全落实环境信息公开制度。</w:t>
      </w:r>
      <w:r>
        <w:rPr>
          <w:rFonts w:hint="eastAsia"/>
          <w:color w:val="auto"/>
          <w:lang w:val="en-US" w:eastAsia="zh-CN"/>
        </w:rPr>
        <w:t>继续推进环境政务新媒体矩阵建设，进一步加大生态环境重点领域公开力度。</w:t>
      </w:r>
      <w:r>
        <w:rPr>
          <w:rFonts w:hint="eastAsia"/>
          <w:color w:val="auto"/>
          <w:lang w:eastAsia="zh-CN"/>
        </w:rPr>
        <w:t>建立完善环境信息强制性公开制度，将企业环境违法行为纳入社会信用体系，依法落实环境信息公开，保证环境信息披露的完整性和及时性，动员社会各方力量，群防群治。督促排污企业自觉接受公众监督，规范和引导排污企业依法公开主要污染物名称、排放方式、执行标准以及污染防治设施建设和运行情况。鼓励排污企业通过设立企业开放日、建设环境教育基地等形式，向社会公众开放。</w:t>
      </w:r>
    </w:p>
    <w:p>
      <w:pPr>
        <w:pStyle w:val="21"/>
        <w:bidi w:val="0"/>
        <w:rPr>
          <w:rFonts w:hint="eastAsia"/>
          <w:color w:val="auto"/>
          <w:lang w:val="en-US" w:eastAsia="zh-CN"/>
        </w:rPr>
      </w:pPr>
      <w:r>
        <w:rPr>
          <w:rFonts w:hint="eastAsia"/>
          <w:b/>
          <w:bCs/>
          <w:color w:val="auto"/>
          <w:lang w:val="en-US" w:eastAsia="zh-CN"/>
        </w:rPr>
        <w:t>建立健全生态环境风险防范应急机制。</w:t>
      </w:r>
      <w:r>
        <w:rPr>
          <w:rFonts w:hint="eastAsia"/>
          <w:color w:val="auto"/>
          <w:lang w:val="en-US" w:eastAsia="zh-CN"/>
        </w:rPr>
        <w:t>完善环境应急机制，适时修订突发生态环境事件、重污染天气等领域应急预案。督促企业落实环境安全主体责任，强化企业层面环境风险防范措施落实和环境安全隐患排查制度建设，依法查处生态环境违法行为。加强环境应急能力建设，提升应急环境监测能力。配备充实环境应急物资、装备，组织开展应急演练，依法科学妥善处置突发环境事件，完善突发环境事件处置和损害赔偿恢复机制。加强区级生态环境应急管理队伍建设，完善和充实环境应急专家资源库，做好应急准备，快速响应和妥善应对突发事件。</w:t>
      </w:r>
    </w:p>
    <w:p>
      <w:pPr>
        <w:pStyle w:val="21"/>
        <w:bidi w:val="0"/>
        <w:rPr>
          <w:color w:val="auto"/>
        </w:rPr>
      </w:pPr>
      <w:r>
        <w:rPr>
          <w:rFonts w:hint="eastAsia"/>
          <w:b/>
          <w:bCs/>
          <w:color w:val="auto"/>
          <w:lang w:val="en-US" w:eastAsia="zh-CN"/>
        </w:rPr>
        <w:t>切实落实生态监管制度。</w:t>
      </w:r>
      <w:r>
        <w:rPr>
          <w:rFonts w:hint="eastAsia"/>
          <w:color w:val="auto"/>
          <w:lang w:val="en-US" w:eastAsia="zh-CN"/>
        </w:rPr>
        <w:t>按照“山水林田湖草沙是一个生命共同体”的系统监管理念，落实生态保护防控制度与生态监测评估预警制度，健全生态环境保护监督执法制度，完善考核督查问责制度，构建生态监管保障制度，充分体现生态保护规划的上位性作用和环境影响评价制度的前置性作用。严格执行环保督察督政制度，重点围绕超标排放、偷排漏排、防治措施不到位等环境违规违法问题，实行销号办结制，限期整改，动态监管，实现督查督办常态长效。</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187" w:name="_Toc19719"/>
      <w:bookmarkStart w:id="188" w:name="_Toc12327"/>
      <w:bookmarkStart w:id="189" w:name="_Toc28977"/>
      <w:bookmarkStart w:id="190" w:name="_Toc3747"/>
      <w:r>
        <w:rPr>
          <w:rFonts w:hint="eastAsia" w:ascii="Times New Roman" w:hAnsi="Times New Roman" w:cs="Times New Roman"/>
          <w:color w:val="auto"/>
          <w:lang w:val="en-US" w:eastAsia="zh-CN"/>
        </w:rPr>
        <w:t>2.健全资源高效利用制度</w:t>
      </w:r>
      <w:bookmarkEnd w:id="187"/>
      <w:bookmarkEnd w:id="188"/>
      <w:bookmarkEnd w:id="189"/>
      <w:bookmarkEnd w:id="190"/>
      <w:r>
        <w:rPr>
          <w:rFonts w:hint="eastAsia" w:ascii="Times New Roman" w:hAnsi="Times New Roman" w:cs="Times New Roman"/>
          <w:color w:val="auto"/>
          <w:lang w:val="en-US" w:eastAsia="zh-CN"/>
        </w:rPr>
        <w:t xml:space="preserve"> </w:t>
      </w:r>
    </w:p>
    <w:p>
      <w:pPr>
        <w:pStyle w:val="21"/>
        <w:bidi w:val="0"/>
        <w:rPr>
          <w:rFonts w:hint="default" w:ascii="Times New Roman" w:hAnsi="Times New Roman" w:cs="Times New Roman"/>
          <w:color w:val="auto"/>
          <w:highlight w:val="none"/>
          <w:lang w:val="en-US" w:eastAsia="zh-CN"/>
        </w:rPr>
      </w:pPr>
      <w:r>
        <w:rPr>
          <w:rFonts w:hint="default"/>
          <w:b/>
          <w:bCs/>
          <w:color w:val="auto"/>
          <w:lang w:val="en-US" w:eastAsia="zh-CN"/>
        </w:rPr>
        <w:t>深入开展自然资源</w:t>
      </w:r>
      <w:r>
        <w:rPr>
          <w:rFonts w:hint="eastAsia"/>
          <w:b/>
          <w:bCs/>
          <w:color w:val="auto"/>
          <w:lang w:val="en-US" w:eastAsia="zh-CN"/>
        </w:rPr>
        <w:t>统一</w:t>
      </w:r>
      <w:r>
        <w:rPr>
          <w:rFonts w:hint="default"/>
          <w:b/>
          <w:bCs/>
          <w:color w:val="auto"/>
          <w:lang w:val="en-US" w:eastAsia="zh-CN"/>
        </w:rPr>
        <w:t>确权登记工作</w:t>
      </w:r>
      <w:r>
        <w:rPr>
          <w:rFonts w:hint="eastAsia"/>
          <w:b/>
          <w:bCs/>
          <w:color w:val="auto"/>
          <w:lang w:val="en-US" w:eastAsia="zh-CN"/>
        </w:rPr>
        <w:t>。</w:t>
      </w:r>
      <w:r>
        <w:rPr>
          <w:rFonts w:hint="default" w:ascii="Times New Roman" w:hAnsi="Times New Roman" w:cs="Times New Roman"/>
          <w:color w:val="auto"/>
          <w:highlight w:val="none"/>
          <w:lang w:val="en-US" w:eastAsia="zh-CN"/>
        </w:rPr>
        <w:t>加快建立和实施自然资源统</w:t>
      </w:r>
      <w:r>
        <w:rPr>
          <w:rFonts w:hint="eastAsia" w:ascii="Times New Roman" w:hAnsi="Times New Roman" w:cs="Times New Roman"/>
          <w:color w:val="auto"/>
          <w:highlight w:val="none"/>
          <w:lang w:val="en-US" w:eastAsia="zh-CN"/>
        </w:rPr>
        <w:t>一</w:t>
      </w:r>
      <w:r>
        <w:rPr>
          <w:rFonts w:hint="default" w:ascii="Times New Roman" w:hAnsi="Times New Roman" w:cs="Times New Roman"/>
          <w:color w:val="auto"/>
          <w:highlight w:val="none"/>
          <w:lang w:val="en-US" w:eastAsia="zh-CN"/>
        </w:rPr>
        <w:t>确权登记制度，推进全</w:t>
      </w:r>
      <w:r>
        <w:rPr>
          <w:rFonts w:hint="eastAsia" w:ascii="Times New Roman" w:hAnsi="Times New Roman" w:cs="Times New Roman"/>
          <w:color w:val="auto"/>
          <w:highlight w:val="none"/>
          <w:lang w:val="en-US" w:eastAsia="zh-CN"/>
        </w:rPr>
        <w:t>区</w:t>
      </w:r>
      <w:r>
        <w:rPr>
          <w:rFonts w:hint="default" w:ascii="Times New Roman" w:hAnsi="Times New Roman" w:cs="Times New Roman"/>
          <w:color w:val="auto"/>
          <w:highlight w:val="none"/>
          <w:lang w:val="en-US" w:eastAsia="zh-CN"/>
        </w:rPr>
        <w:t>自然资源统</w:t>
      </w:r>
      <w:r>
        <w:rPr>
          <w:rFonts w:hint="eastAsia" w:ascii="Times New Roman" w:hAnsi="Times New Roman" w:cs="Times New Roman"/>
          <w:color w:val="auto"/>
          <w:highlight w:val="none"/>
          <w:lang w:val="en-US" w:eastAsia="zh-CN"/>
        </w:rPr>
        <w:t>一</w:t>
      </w:r>
      <w:r>
        <w:rPr>
          <w:rFonts w:hint="default" w:ascii="Times New Roman" w:hAnsi="Times New Roman" w:cs="Times New Roman"/>
          <w:color w:val="auto"/>
          <w:highlight w:val="none"/>
          <w:lang w:val="en-US" w:eastAsia="zh-CN"/>
        </w:rPr>
        <w:t>确权登记法治化，推动建立自然资源资产产权制度。对全</w:t>
      </w:r>
      <w:r>
        <w:rPr>
          <w:rFonts w:hint="eastAsia" w:ascii="Times New Roman" w:hAnsi="Times New Roman" w:cs="Times New Roman"/>
          <w:color w:val="auto"/>
          <w:highlight w:val="none"/>
          <w:lang w:val="en-US" w:eastAsia="zh-CN"/>
        </w:rPr>
        <w:t>区</w:t>
      </w:r>
      <w:r>
        <w:rPr>
          <w:rFonts w:hint="default" w:ascii="Times New Roman" w:hAnsi="Times New Roman" w:cs="Times New Roman"/>
          <w:color w:val="auto"/>
          <w:highlight w:val="none"/>
          <w:lang w:val="en-US" w:eastAsia="zh-CN"/>
        </w:rPr>
        <w:t>行政区域内河流、湿地、国有土地森林、探明资源储量矿产资源等自然资源进行确权登记。按照国家统一标准，建立</w:t>
      </w:r>
      <w:r>
        <w:rPr>
          <w:rFonts w:hint="eastAsia" w:ascii="Times New Roman" w:hAnsi="Times New Roman" w:cs="Times New Roman"/>
          <w:color w:val="auto"/>
          <w:highlight w:val="none"/>
          <w:lang w:val="en-US" w:eastAsia="zh-CN"/>
        </w:rPr>
        <w:t>区</w:t>
      </w:r>
      <w:r>
        <w:rPr>
          <w:rFonts w:hint="default" w:ascii="Times New Roman" w:hAnsi="Times New Roman" w:cs="Times New Roman"/>
          <w:color w:val="auto"/>
          <w:highlight w:val="none"/>
          <w:lang w:val="en-US" w:eastAsia="zh-CN"/>
        </w:rPr>
        <w:t>自然资源确权登记数据库，确保自然资源确权登记信息日常更新。建设</w:t>
      </w:r>
      <w:r>
        <w:rPr>
          <w:rFonts w:hint="eastAsia" w:ascii="Times New Roman" w:hAnsi="Times New Roman" w:cs="Times New Roman"/>
          <w:color w:val="auto"/>
          <w:highlight w:val="none"/>
          <w:lang w:val="en-US" w:eastAsia="zh-CN"/>
        </w:rPr>
        <w:t>区</w:t>
      </w:r>
      <w:r>
        <w:rPr>
          <w:rFonts w:hint="default" w:ascii="Times New Roman" w:hAnsi="Times New Roman" w:cs="Times New Roman"/>
          <w:color w:val="auto"/>
          <w:highlight w:val="none"/>
          <w:lang w:val="en-US" w:eastAsia="zh-CN"/>
        </w:rPr>
        <w:t>自然资源确权登记信息系统，实现自然资源登记信息统一管理、实时共享、实时关联、互通共享。将自然资源确权登记信息纳入省、市、县不动产登记信息管理基础平台（信息系统</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，实现自然资源确权登记信息与不动产登记信息有机衔接和融合。</w:t>
      </w:r>
    </w:p>
    <w:p>
      <w:pPr>
        <w:pStyle w:val="21"/>
        <w:bidi w:val="0"/>
        <w:rPr>
          <w:rFonts w:hint="eastAsia"/>
          <w:color w:val="auto"/>
          <w:lang w:val="en-US" w:eastAsia="zh-CN"/>
        </w:rPr>
      </w:pPr>
      <w:r>
        <w:rPr>
          <w:rFonts w:hint="eastAsia" w:ascii="Times New Roman" w:hAnsi="Times New Roman" w:cs="Times New Roman"/>
          <w:b/>
          <w:bCs/>
          <w:color w:val="auto"/>
          <w:lang w:val="en-US" w:eastAsia="zh-CN"/>
        </w:rPr>
        <w:t>实行最严格水资源管理制度。</w:t>
      </w:r>
      <w:r>
        <w:rPr>
          <w:rFonts w:hint="eastAsia"/>
          <w:color w:val="auto"/>
          <w:lang w:val="en-US" w:eastAsia="zh-CN"/>
        </w:rPr>
        <w:t>严格水资源开发利用控制、用水控制和水功能区限制纳污控制“三条红线”。强化水资源节约集约安全利用。落实最严格水资源管理制度，健全水资源刚性约束制度，严守用水总量和强度双控目标，加快重要江河流域水量分配，严格生态流量监管。深入实施国家节水行动，强化用水实施总量控制和定额管理机制，大力推进用水定额与节水标准，加强工业节水和生活节水，推广节水器具。扎实推进节水创建量质双升，进一步健全完善节水支持政策。</w:t>
      </w:r>
    </w:p>
    <w:p>
      <w:pPr>
        <w:pStyle w:val="21"/>
        <w:bidi w:val="0"/>
        <w:rPr>
          <w:rFonts w:hint="eastAsia"/>
          <w:color w:val="auto"/>
          <w:lang w:eastAsia="zh-CN"/>
        </w:rPr>
      </w:pPr>
      <w:r>
        <w:rPr>
          <w:rFonts w:hint="eastAsia" w:ascii="Times New Roman" w:hAnsi="Times New Roman" w:cs="Times New Roman"/>
          <w:b/>
          <w:bCs/>
          <w:color w:val="auto"/>
          <w:lang w:val="en-US" w:eastAsia="zh-CN"/>
        </w:rPr>
        <w:t>落实最严格土地节约集约制度。</w:t>
      </w:r>
      <w:r>
        <w:rPr>
          <w:rFonts w:hint="eastAsia"/>
          <w:color w:val="auto"/>
          <w:lang w:eastAsia="zh-CN"/>
        </w:rPr>
        <w:t>持续落实最严格土地节约集约制度，进一步提高</w:t>
      </w:r>
      <w:r>
        <w:rPr>
          <w:rFonts w:hint="eastAsia"/>
          <w:color w:val="auto"/>
          <w:lang w:val="en-US" w:eastAsia="zh-CN"/>
        </w:rPr>
        <w:t>红谷滩</w:t>
      </w:r>
      <w:r>
        <w:rPr>
          <w:rFonts w:hint="eastAsia"/>
          <w:color w:val="auto"/>
          <w:lang w:eastAsia="zh-CN"/>
        </w:rPr>
        <w:t>区土地节约集约利用水平。强化国土空间规划管控，在区级国土空间规划中科学布局生态、农业、城镇空间，统筹运用生态保护红线、永久基本农田、城镇开发边界三条控制线，谋划重大项目空间布局，优化项目选址，推动项目建设尽量不占或少占耕地。在城乡融合区域“用地”和“还田”两手抓，确保耕地面积不减少的同时保障重点项目用地。积极完善和推广全域土地综合整治机制，全面落实建设用地“增存挂钩”工作机制，加快推进批而未供和闲置土地处置工作，提高“三旧”用地报批效率，完善土地执法监管共同责任制，不断提升土地节约集约利用水平。</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191" w:name="_Toc15685"/>
      <w:bookmarkStart w:id="192" w:name="_Toc23813"/>
      <w:bookmarkStart w:id="193" w:name="_Toc25284"/>
      <w:bookmarkStart w:id="194" w:name="_Toc5538"/>
      <w:r>
        <w:rPr>
          <w:rFonts w:hint="eastAsia" w:ascii="Times New Roman" w:hAnsi="Times New Roman" w:cs="Times New Roman"/>
          <w:color w:val="auto"/>
          <w:lang w:val="en-US" w:eastAsia="zh-CN"/>
        </w:rPr>
        <w:t>3.健全生态补偿制度</w:t>
      </w:r>
      <w:bookmarkEnd w:id="191"/>
      <w:bookmarkEnd w:id="192"/>
      <w:bookmarkEnd w:id="193"/>
      <w:bookmarkEnd w:id="194"/>
    </w:p>
    <w:p>
      <w:pPr>
        <w:pStyle w:val="21"/>
        <w:bidi w:val="0"/>
        <w:rPr>
          <w:color w:val="auto"/>
        </w:rPr>
      </w:pPr>
      <w:r>
        <w:rPr>
          <w:rFonts w:hint="eastAsia"/>
          <w:color w:val="auto"/>
          <w:lang w:eastAsia="zh-CN"/>
        </w:rPr>
        <w:t>持续做好生活垃圾终端处理设施区域生态补偿、水环境生态保护补偿和永久基本农田经济补偿等生态补偿资金的分配与使用。积极落实依法建设占用各类自然生态空间的占用补偿制度。完善市场化多元化生态保护补偿机制，拓展生态保护补偿投入渠道，提升生态保护补偿政策效果。</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195" w:name="_Toc22048"/>
      <w:bookmarkStart w:id="196" w:name="_Toc9033"/>
      <w:bookmarkStart w:id="197" w:name="_Toc5884"/>
      <w:bookmarkStart w:id="198" w:name="_Toc18590"/>
      <w:bookmarkStart w:id="199" w:name="_Toc4140"/>
      <w:r>
        <w:rPr>
          <w:rFonts w:hint="eastAsia" w:ascii="Times New Roman" w:hAnsi="Times New Roman" w:cs="Times New Roman"/>
          <w:color w:val="auto"/>
          <w:lang w:val="en-US" w:eastAsia="zh-CN"/>
        </w:rPr>
        <w:t>4.健全生态环境保护责任制度</w:t>
      </w:r>
      <w:bookmarkEnd w:id="195"/>
      <w:bookmarkEnd w:id="196"/>
      <w:bookmarkEnd w:id="197"/>
      <w:bookmarkEnd w:id="198"/>
    </w:p>
    <w:p>
      <w:pPr>
        <w:pStyle w:val="21"/>
        <w:bidi w:val="0"/>
        <w:rPr>
          <w:rFonts w:hint="eastAsia"/>
          <w:color w:val="auto"/>
          <w:lang w:val="en-US" w:eastAsia="zh-CN"/>
        </w:rPr>
      </w:pPr>
      <w:r>
        <w:rPr>
          <w:rFonts w:hint="eastAsia"/>
          <w:b/>
          <w:bCs/>
          <w:color w:val="auto"/>
          <w:lang w:val="en-US" w:eastAsia="zh-CN"/>
        </w:rPr>
        <w:t>落实生态文明建设目标责任制度。</w:t>
      </w:r>
      <w:r>
        <w:rPr>
          <w:rFonts w:hint="eastAsia"/>
          <w:color w:val="auto"/>
          <w:lang w:val="en-US" w:eastAsia="zh-CN"/>
        </w:rPr>
        <w:t>强化生态文明考核评价制度，构建充分反映资源消耗、环境损害和生态效益的生态文明绩效评价考核制度，提高生态环境保护在领导干部考核评价中的权重。规划期，确保生态文明建设工作占党政实绩考核的比例不低于</w:t>
      </w:r>
      <w:r>
        <w:rPr>
          <w:rFonts w:hint="default"/>
          <w:color w:val="auto"/>
          <w:lang w:val="en-US" w:eastAsia="zh-CN"/>
        </w:rPr>
        <w:t>20%</w:t>
      </w:r>
      <w:r>
        <w:rPr>
          <w:rFonts w:hint="eastAsia"/>
          <w:color w:val="auto"/>
          <w:lang w:val="en-US" w:eastAsia="zh-CN"/>
        </w:rPr>
        <w:t>。严格落实生态环境保护“党政同责、一岗双责”。优化责任制考核办法，合理安排指标权重，细化打分细则，将环境质量改善目标完成情况、年度生态环境保护重点工作任务完成情况纳入生态环境保护目标责任考核，进一步压实镇街、区直部门的生态文明建设责任。</w:t>
      </w:r>
    </w:p>
    <w:p>
      <w:pPr>
        <w:pStyle w:val="21"/>
        <w:bidi w:val="0"/>
        <w:rPr>
          <w:rFonts w:hint="eastAsia"/>
          <w:color w:val="auto"/>
          <w:lang w:val="en-US" w:eastAsia="zh-CN"/>
        </w:rPr>
      </w:pPr>
      <w:r>
        <w:rPr>
          <w:rFonts w:hint="eastAsia" w:ascii="Times New Roman" w:hAnsi="Times New Roman" w:cs="Times New Roman"/>
          <w:b/>
          <w:bCs/>
          <w:color w:val="auto"/>
          <w:lang w:val="en-US" w:eastAsia="zh-CN"/>
        </w:rPr>
        <w:t>深化领导干部自然资源资产离任审计制度。</w:t>
      </w:r>
      <w:r>
        <w:rPr>
          <w:rFonts w:hint="eastAsia"/>
          <w:color w:val="auto"/>
          <w:lang w:val="en-US" w:eastAsia="zh-CN"/>
        </w:rPr>
        <w:t>加快探索领导干部离任生态资产审计的目标、内容、方法和评价指标体系，深化自然资源资产离任审计，落实自然资源资产离任审计和终身责任追究制度。将领导干部履行自然资源资产管理和生态环境保护情况作为经济责任必审内容，并持续深化经济责任审计中的自然资源资产管理和生态环境保护审计内容，确保客观、充分检视被审计领导干部在履行自然资源资产管理和生态环境保护责任方面履职尽责情况，实事求是界定其应承担的责任，推动领导干部切实履行自然资源资产管理和生态环境保护职责。</w:t>
      </w:r>
    </w:p>
    <w:p>
      <w:pPr>
        <w:pStyle w:val="21"/>
        <w:bidi w:val="0"/>
        <w:rPr>
          <w:rFonts w:hint="eastAsia"/>
          <w:color w:val="auto"/>
          <w:lang w:val="en-US" w:eastAsia="zh-CN"/>
        </w:rPr>
      </w:pPr>
      <w:r>
        <w:rPr>
          <w:rFonts w:hint="eastAsia" w:ascii="Times New Roman" w:hAnsi="Times New Roman" w:cs="Times New Roman"/>
          <w:b/>
          <w:bCs/>
          <w:color w:val="auto"/>
          <w:lang w:val="en-US" w:eastAsia="zh-CN"/>
        </w:rPr>
        <w:t>完善生态环境监督问责机制。</w:t>
      </w:r>
      <w:r>
        <w:rPr>
          <w:rFonts w:hint="eastAsia"/>
          <w:color w:val="auto"/>
          <w:lang w:val="en-US" w:eastAsia="zh-CN"/>
        </w:rPr>
        <w:t>加强区域规划管控，各部门需明确责任，及时开展督查与检查，抓好监督执纪问责，对突破生态保护红线、挤占生态空间、解决突出环境问题不力的，严肃问责，终身追责。对发生重大生态环境破坏事故的责任者，实施严格问责；对造成生态环境损害的责任者严格实施赔偿制度，依法追究其刑事责任。建立环境保护网络举报平台和举报制度，健全举报、听证、舆论监督等制度，鼓励公民、法人和其他社会组织就生态环境问题进行举报。完善环境信访制度，建立环境信访预警机制和隐患排查制度，完善信访查处制度和积案化解制度。同时，设立投诉举报信箱、领导信箱，完善24小时环保投诉举报电话、群众举报投诉渠道。</w:t>
      </w:r>
    </w:p>
    <w:p>
      <w:pPr>
        <w:pStyle w:val="21"/>
        <w:bidi w:val="0"/>
        <w:rPr>
          <w:color w:val="auto"/>
        </w:rPr>
      </w:pPr>
      <w:r>
        <w:rPr>
          <w:rFonts w:hint="eastAsia" w:ascii="Times New Roman" w:hAnsi="Times New Roman" w:cs="Times New Roman"/>
          <w:b/>
          <w:bCs/>
          <w:color w:val="auto"/>
          <w:lang w:val="en-US" w:eastAsia="zh-CN"/>
        </w:rPr>
        <w:t>严格实行生态环境损害赔偿制度。</w:t>
      </w:r>
      <w:r>
        <w:rPr>
          <w:rFonts w:hint="eastAsia"/>
          <w:color w:val="auto"/>
          <w:lang w:val="en-US" w:eastAsia="zh-CN"/>
        </w:rPr>
        <w:t>推进生态环境损害赔偿和责任追究，加大造成生态环境损害的企业和个人的违法违规成本。及时妥善处理环境损害赔偿纠纷，依据环境侵权案件举证责任分配规则，准确认定环境污染与损害后果之间的因果关系，确保环境侵权受害人得到及时全面赔偿，同时使责任人付出高昂代价。明确生态环境损害赔偿范围、责任主体、索赔主体、损害赔偿解决途径等，形成相应的鉴定评估管理和技术体系、资金保障和运行机制，加快推进生态文明建设。检察机关依法开展对生态环境损害赔偿的法律监督，全面开展受损生态环境修复和费用赔偿工作，防止“只赔偿、不修复”或“只修复、不赔偿”。健全环境损害赔偿方面的法律制度、评估方法和实施机制，对违反环保法律法规的，依法严惩重罚；对造成生态环境损害的，科学评估损害程度及修复成本，依法确定赔偿额度；对造成严重后果的，依法追究刑事责任。</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200" w:name="_Toc22682"/>
      <w:bookmarkStart w:id="201" w:name="_Toc12872"/>
      <w:bookmarkStart w:id="202" w:name="_Toc3048"/>
      <w:bookmarkStart w:id="203" w:name="_Toc14703"/>
      <w:r>
        <w:rPr>
          <w:rFonts w:hint="eastAsia" w:ascii="Times New Roman" w:hAnsi="Times New Roman" w:cs="Times New Roman"/>
          <w:color w:val="auto"/>
          <w:lang w:val="en-US" w:eastAsia="zh-CN"/>
        </w:rPr>
        <w:t>5.建立健全现代环境治理体系</w:t>
      </w:r>
      <w:bookmarkEnd w:id="200"/>
      <w:bookmarkEnd w:id="201"/>
      <w:bookmarkEnd w:id="202"/>
      <w:bookmarkEnd w:id="203"/>
    </w:p>
    <w:p>
      <w:pPr>
        <w:pStyle w:val="21"/>
        <w:bidi w:val="0"/>
        <w:rPr>
          <w:rFonts w:hint="eastAsia"/>
          <w:color w:val="auto"/>
          <w:lang w:val="en-US" w:eastAsia="zh-CN"/>
        </w:rPr>
      </w:pPr>
      <w:r>
        <w:rPr>
          <w:rFonts w:hint="eastAsia"/>
          <w:b/>
          <w:bCs/>
          <w:color w:val="auto"/>
          <w:lang w:val="en-US" w:eastAsia="zh-CN"/>
        </w:rPr>
        <w:t>健全环境治理领导责任体系。</w:t>
      </w:r>
      <w:r>
        <w:rPr>
          <w:rFonts w:hint="eastAsia"/>
          <w:color w:val="auto"/>
          <w:lang w:val="en-US" w:eastAsia="zh-CN"/>
        </w:rPr>
        <w:t>落实生态环境保护党政主体责任，统筹做好生态环境保护重要任务的监管执法、市场规范、资金安排、宣传教育等工作，全面加强对生态环境保护工作的组织领导，保持党政领导干部参加生态文明培训的人数比例达100%。建立健全生态环境保护责任追究制度，严格落实领导干部自然资源资产离任审计制度和生态环境保护工作职责分工，压实生态环境保护责任。充分发挥红谷滩区生态环境保护委员会的统筹协调作用，构建生态环境保护大格局。完善生态环境保护评价考核机制。深化污染防治攻坚战成效考核，落实最严格的能耗、水耗、污染物排放等标准，强化大气、水环境等领域的环境质量目标约束，加强督察督办机制和专项分析机制；强化碳排放控制目标约束作用，全面实施温室气体总量和二氧化碳排放强度的“双控双降”目标考核制度。</w:t>
      </w:r>
    </w:p>
    <w:p>
      <w:pPr>
        <w:pStyle w:val="21"/>
        <w:bidi w:val="0"/>
        <w:rPr>
          <w:rFonts w:hint="eastAsia"/>
          <w:color w:val="auto"/>
          <w:lang w:val="en-US" w:eastAsia="zh-CN"/>
        </w:rPr>
      </w:pPr>
      <w:r>
        <w:rPr>
          <w:rFonts w:hint="eastAsia"/>
          <w:b/>
          <w:bCs/>
          <w:color w:val="auto"/>
          <w:lang w:val="en-US" w:eastAsia="zh-CN"/>
        </w:rPr>
        <w:t>健全环境治理企业责任体系。</w:t>
      </w:r>
      <w:r>
        <w:rPr>
          <w:rFonts w:hint="eastAsia"/>
          <w:color w:val="auto"/>
        </w:rPr>
        <w:t>落实企业执行环境影响评价、排污许可、总量控制、自行监测、信息公开等制度。</w:t>
      </w:r>
      <w:r>
        <w:rPr>
          <w:rFonts w:hint="eastAsia"/>
          <w:color w:val="auto"/>
          <w:lang w:val="en-US" w:eastAsia="zh-CN"/>
        </w:rPr>
        <w:t>强化固定污染源持证依证排污，推行固定污染源“一证式”管理，强化证后监管，严查“无证、违证”排污，指导督促持证单位严格依证落实自行监测、台账记录、信息公开和执行报告等要求。推动排污许可制与环境影响评价、总量控制、环境统计、生态环境执法等制度的衔接融合。推动排污单位环境信息公开。严格落实环境信息依法披露、守信激励失信惩戒等制度，督促排污企业依法向社会公开污染物排放相关信息、环境年报和企业社会责任报告。引导企业主动履行企业环境社会责任，强化企业环境主体责任意识。加强企业环境治理责任制度建设，督促企业严格执行法律法规和各项环境保护管理制度，履行污染治理与排放控制、生态保护与修复、突发环境事件环境应急管理等法定义务。</w:t>
      </w:r>
      <w:r>
        <w:rPr>
          <w:rFonts w:hint="eastAsia"/>
          <w:color w:val="auto"/>
        </w:rPr>
        <w:t>建立企业主要负责人第一责任人制度、环保主任制度以及业主、出租方连带责任制度。严格落实污染治理、生态环境损害赔偿和生态修复责任，落实生产者责任延伸制度。</w:t>
      </w:r>
      <w:r>
        <w:rPr>
          <w:rFonts w:hint="eastAsia"/>
          <w:color w:val="auto"/>
          <w:lang w:val="en-US" w:eastAsia="zh-CN"/>
        </w:rPr>
        <w:t>大力开展技术创新，加大清洁生产推行力度，支持企业开展资源能源节约、超低排放等绿色化改造。</w:t>
      </w:r>
    </w:p>
    <w:p>
      <w:pPr>
        <w:pStyle w:val="21"/>
        <w:bidi w:val="0"/>
        <w:rPr>
          <w:color w:val="auto"/>
        </w:rPr>
      </w:pPr>
      <w:r>
        <w:rPr>
          <w:rFonts w:hint="eastAsia"/>
          <w:b/>
          <w:bCs/>
          <w:color w:val="auto"/>
          <w:lang w:val="en-US" w:eastAsia="zh-CN"/>
        </w:rPr>
        <w:t>健全环境治理全民行动体系。</w:t>
      </w:r>
      <w:r>
        <w:rPr>
          <w:rFonts w:hint="eastAsia"/>
          <w:color w:val="auto"/>
          <w:lang w:val="en-US" w:eastAsia="zh-CN"/>
        </w:rPr>
        <w:t>加强生态文明教育，推进生态环境保护宣传教育进家庭、进社区、 进工厂、进机关、进农村，提高各类人群的生态文明意识和环保科学素养。完善公众监督和举报反馈机制，鼓励新闻媒体对各类破坏生态环境问题、突发环境事件、环境违法行为进行曝光。引导具备资格的环保组织依法开展生态环境公益诉讼等活动。全面推行绿色低碳生活方式，开展绿色出行、绿色家居、绿色消费、绿色餐饮、绿色快递、绿色出游、绿色观影等活动，引导公众践行绿色生活。</w:t>
      </w:r>
    </w:p>
    <w:p>
      <w:pPr>
        <w:pStyle w:val="21"/>
        <w:bidi w:val="0"/>
        <w:rPr>
          <w:rFonts w:hint="eastAsia"/>
          <w:color w:val="auto"/>
          <w:lang w:val="en-US" w:eastAsia="zh-CN"/>
        </w:rPr>
      </w:pPr>
      <w:r>
        <w:rPr>
          <w:rFonts w:hint="eastAsia"/>
          <w:b/>
          <w:bCs/>
          <w:color w:val="auto"/>
          <w:lang w:val="en-US" w:eastAsia="zh-CN"/>
        </w:rPr>
        <w:t>建立健全生态产品价值实现机制。</w:t>
      </w:r>
      <w:r>
        <w:rPr>
          <w:rFonts w:hint="eastAsia"/>
          <w:color w:val="auto"/>
          <w:lang w:val="en-US" w:eastAsia="zh-CN"/>
        </w:rPr>
        <w:t>配合构建生态产品价值核算评估体系，开展自然资源统一确权登记、生态产品价值核算，探索生态产品评估、抵押、转化路径，推进生态产品价值核算标准化。配合打造生态产品供需对接平台，探索创新绿色金融服务模式。鼓励设立服务生态产品经营开发主体的绿色金融专业机构，推进从事生态产品经营开发企业发行绿色债券和资产支持证券、上市融资；配合构建覆盖企业、社会组织和个人的生态环境保护积分体系，并做好上市企业环境信息强制性依法披露。</w:t>
      </w:r>
    </w:p>
    <w:p>
      <w:pPr>
        <w:pStyle w:val="21"/>
        <w:bidi w:val="0"/>
        <w:rPr>
          <w:rFonts w:hint="eastAsia"/>
          <w:color w:val="auto"/>
          <w:lang w:val="en-US" w:eastAsia="zh-CN"/>
        </w:rPr>
      </w:pPr>
      <w:r>
        <w:rPr>
          <w:rFonts w:hint="eastAsia"/>
          <w:b/>
          <w:bCs/>
          <w:color w:val="auto"/>
          <w:lang w:val="en-US" w:eastAsia="zh-CN"/>
        </w:rPr>
        <w:t>健全环境治理市场体系。</w:t>
      </w:r>
      <w:r>
        <w:rPr>
          <w:rFonts w:hint="eastAsia"/>
          <w:color w:val="auto"/>
          <w:lang w:val="en-US" w:eastAsia="zh-CN"/>
        </w:rPr>
        <w:t>推进环境治理市场规范化。完善市场化的生态环境保护机制，引导社会资本参与生态环境治理投资、建设和运行。积极发挥市场配置资源的基础性作用，深入推进生态环境领域“放管服”改革。实施环评审批“正面清单”改革，严格事中事后监管。规范环境治理和环境监测市场秩序，形成公开透明的市场环境。完善环保信用评价机制。健全区内企业环保信用评价，公开企业环保信用等级，对不同等级企业实施差异化管理，强化企业自我约束意识，充分调动企业主动履行环保职责的积极性。</w:t>
      </w:r>
    </w:p>
    <w:p>
      <w:pPr>
        <w:pStyle w:val="21"/>
        <w:bidi w:val="0"/>
        <w:rPr>
          <w:rFonts w:hint="eastAsia"/>
          <w:color w:val="auto"/>
          <w:lang w:val="en-US" w:eastAsia="zh-CN"/>
        </w:rPr>
      </w:pPr>
      <w:r>
        <w:rPr>
          <w:rFonts w:hint="eastAsia"/>
          <w:b/>
          <w:bCs/>
          <w:color w:val="auto"/>
          <w:lang w:val="en-US" w:eastAsia="zh-CN"/>
        </w:rPr>
        <w:t>建设生态环境科普制度。</w:t>
      </w:r>
      <w:r>
        <w:rPr>
          <w:rFonts w:hint="eastAsia"/>
          <w:color w:val="auto"/>
          <w:lang w:val="en-US" w:eastAsia="zh-CN"/>
        </w:rPr>
        <w:t>以支撑打好污染防治攻坚战、推进生态文明建设为目标，不断完善科普工作体制机制，创新科普工作方式方法，在科普制度建设、资源开发、基地创建、品牌活动创新、热点焦点问题专家解读等领域全面发力，形成全媒体、全手段、全内容、全方位、良性互动的生态环境科普工作体系。建立健全生态环境科普工作协调机制，定期召开会议研究部署科普工作；积极发挥科研机构和科技工作者作用，积极创作、研发科普作品，拓展科普服务；与辖区内高校、科研院所等合作，常态化开展生态环境科普工作。</w:t>
      </w:r>
    </w:p>
    <w:p>
      <w:pPr>
        <w:pStyle w:val="20"/>
        <w:numPr>
          <w:ilvl w:val="1"/>
          <w:numId w:val="0"/>
        </w:numPr>
        <w:bidi w:val="0"/>
        <w:ind w:leftChars="0"/>
        <w:rPr>
          <w:rFonts w:hint="default" w:ascii="仿宋" w:hAnsi="仿宋" w:eastAsia="仿宋" w:cs="仿宋"/>
          <w:color w:val="auto"/>
          <w:lang w:val="en-US" w:eastAsia="zh-CN"/>
        </w:rPr>
      </w:pPr>
      <w:bookmarkStart w:id="204" w:name="_Toc29085"/>
      <w:bookmarkStart w:id="205" w:name="_Toc6423"/>
      <w:bookmarkStart w:id="206" w:name="_Toc23993"/>
      <w:bookmarkStart w:id="207" w:name="_Toc732"/>
      <w:r>
        <w:rPr>
          <w:rFonts w:hint="eastAsia" w:ascii="仿宋" w:hAnsi="仿宋" w:eastAsia="仿宋" w:cs="仿宋"/>
          <w:color w:val="auto"/>
          <w:lang w:val="en-US" w:eastAsia="zh-CN"/>
        </w:rPr>
        <w:t>（二）</w:t>
      </w:r>
      <w:r>
        <w:rPr>
          <w:rFonts w:hint="default" w:ascii="仿宋" w:hAnsi="仿宋" w:eastAsia="仿宋" w:cs="仿宋"/>
          <w:color w:val="auto"/>
          <w:lang w:val="en-US" w:eastAsia="zh-CN"/>
        </w:rPr>
        <w:t>生态安全体系建设</w:t>
      </w:r>
      <w:bookmarkEnd w:id="199"/>
      <w:bookmarkEnd w:id="204"/>
      <w:bookmarkEnd w:id="205"/>
      <w:bookmarkEnd w:id="206"/>
      <w:bookmarkEnd w:id="207"/>
    </w:p>
    <w:p>
      <w:pPr>
        <w:pStyle w:val="21"/>
        <w:bidi w:val="0"/>
        <w:rPr>
          <w:rFonts w:hint="eastAsia"/>
          <w:color w:val="auto"/>
          <w:lang w:val="en-US" w:eastAsia="zh-CN"/>
        </w:rPr>
      </w:pPr>
      <w:r>
        <w:rPr>
          <w:color w:val="auto"/>
          <w:lang w:val="en-US" w:eastAsia="zh-CN"/>
        </w:rPr>
        <w:t>深入贯彻</w:t>
      </w:r>
      <w:r>
        <w:rPr>
          <w:rFonts w:hint="eastAsia"/>
          <w:color w:val="auto"/>
          <w:lang w:val="en-US" w:eastAsia="zh-CN"/>
        </w:rPr>
        <w:t>“绿水青山就是金山银山”的理念，坚持山水林田湖草沙一体化保护和系统治理，加快矿山生态保护与修复，提升环境风险防控能力，努力提供</w:t>
      </w:r>
      <w:r>
        <w:rPr>
          <w:color w:val="auto"/>
          <w:lang w:val="en-US" w:eastAsia="zh-CN"/>
        </w:rPr>
        <w:t>更多优质生态产品以满足人民日益增长的美好生活需要和优美生态环境</w:t>
      </w:r>
      <w:r>
        <w:rPr>
          <w:rFonts w:hint="eastAsia"/>
          <w:color w:val="auto"/>
          <w:lang w:val="en-US" w:eastAsia="zh-CN"/>
        </w:rPr>
        <w:t xml:space="preserve">需要。 </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208" w:name="_Toc25326"/>
      <w:r>
        <w:rPr>
          <w:rFonts w:hint="eastAsia" w:cs="Times New Roman"/>
          <w:color w:val="auto"/>
          <w:lang w:val="en-US" w:eastAsia="zh-CN"/>
        </w:rPr>
        <w:t>1</w:t>
      </w:r>
      <w:r>
        <w:rPr>
          <w:rFonts w:hint="eastAsia" w:ascii="Times New Roman" w:hAnsi="Times New Roman" w:cs="Times New Roman"/>
          <w:color w:val="auto"/>
          <w:lang w:val="en-US" w:eastAsia="zh-CN"/>
        </w:rPr>
        <w:t>.高标准打好蓝天保卫战</w:t>
      </w:r>
      <w:bookmarkEnd w:id="208"/>
    </w:p>
    <w:p>
      <w:pPr>
        <w:pStyle w:val="21"/>
        <w:bidi w:val="0"/>
        <w:rPr>
          <w:rFonts w:hint="default"/>
          <w:color w:val="auto"/>
          <w:lang w:val="en-US" w:eastAsia="zh-CN"/>
        </w:rPr>
      </w:pPr>
      <w:r>
        <w:rPr>
          <w:rFonts w:hint="default"/>
          <w:b/>
          <w:bCs/>
          <w:color w:val="auto"/>
          <w:lang w:val="en-US" w:eastAsia="zh-CN"/>
        </w:rPr>
        <w:t>大力推进臭氧污染防治</w:t>
      </w:r>
      <w:r>
        <w:rPr>
          <w:rFonts w:hint="eastAsia"/>
          <w:b/>
          <w:bCs/>
          <w:color w:val="auto"/>
          <w:lang w:val="en-US" w:eastAsia="zh-CN"/>
        </w:rPr>
        <w:t>。</w:t>
      </w:r>
      <w:r>
        <w:rPr>
          <w:rFonts w:hint="default"/>
          <w:color w:val="auto"/>
          <w:lang w:val="en-US" w:eastAsia="zh-CN"/>
        </w:rPr>
        <w:t>聚焦臭氧污染高发季节，实施重点行业大气污染防治深度治理</w:t>
      </w:r>
      <w:r>
        <w:rPr>
          <w:rFonts w:hint="eastAsia"/>
          <w:color w:val="auto"/>
          <w:lang w:val="en-US" w:eastAsia="zh-CN"/>
        </w:rPr>
        <w:t>，</w:t>
      </w:r>
      <w:r>
        <w:rPr>
          <w:rFonts w:hint="default"/>
          <w:color w:val="auto"/>
          <w:lang w:val="en-US" w:eastAsia="zh-CN"/>
        </w:rPr>
        <w:t>着力推进挥发性有机物和氮氧化物协同减排。开展挥发性有机物治理专项行动，强化工业、建筑施工、油品储运销、汽修等领域挥发性有机物治理，推进企业升级改造和区域环境综合整治。</w:t>
      </w:r>
    </w:p>
    <w:p>
      <w:pPr>
        <w:pStyle w:val="21"/>
        <w:bidi w:val="0"/>
        <w:rPr>
          <w:rFonts w:hint="default"/>
          <w:color w:val="auto"/>
          <w:lang w:val="en-US" w:eastAsia="zh-CN"/>
        </w:rPr>
      </w:pPr>
      <w:r>
        <w:rPr>
          <w:rFonts w:hint="default" w:ascii="Times New Roman" w:hAnsi="Times New Roman" w:cs="Times New Roman"/>
          <w:b/>
          <w:bCs/>
          <w:color w:val="auto"/>
          <w:lang w:val="en-US" w:eastAsia="zh-CN"/>
        </w:rPr>
        <w:t>强化扬尘整治</w:t>
      </w:r>
      <w:r>
        <w:rPr>
          <w:rFonts w:hint="eastAsia" w:ascii="Times New Roman" w:hAnsi="Times New Roman" w:cs="Times New Roman"/>
          <w:b/>
          <w:bCs/>
          <w:color w:val="auto"/>
          <w:lang w:val="en-US" w:eastAsia="zh-CN"/>
        </w:rPr>
        <w:t>。</w:t>
      </w:r>
      <w:r>
        <w:rPr>
          <w:rFonts w:hint="default"/>
          <w:color w:val="auto"/>
          <w:lang w:val="en-US" w:eastAsia="zh-CN"/>
        </w:rPr>
        <w:t>强化建筑施工扬尘精细管控，严格要求施工单位落实施工现场扬尘治理</w:t>
      </w:r>
      <w:r>
        <w:rPr>
          <w:rFonts w:hint="eastAsia"/>
          <w:color w:val="auto"/>
          <w:lang w:val="en-US" w:eastAsia="zh-CN"/>
        </w:rPr>
        <w:t>“</w:t>
      </w:r>
      <w:r>
        <w:rPr>
          <w:rFonts w:hint="default"/>
          <w:color w:val="auto"/>
          <w:lang w:val="en-US" w:eastAsia="zh-CN"/>
        </w:rPr>
        <w:t>六个 100%</w:t>
      </w:r>
      <w:r>
        <w:rPr>
          <w:rFonts w:hint="eastAsia"/>
          <w:color w:val="auto"/>
          <w:lang w:val="en-US" w:eastAsia="zh-CN"/>
        </w:rPr>
        <w:t>”</w:t>
      </w:r>
      <w:r>
        <w:rPr>
          <w:rFonts w:hint="default"/>
          <w:color w:val="auto"/>
          <w:lang w:val="en-US" w:eastAsia="zh-CN"/>
        </w:rPr>
        <w:t>要求，推动实现施工现场</w:t>
      </w:r>
      <w:r>
        <w:rPr>
          <w:rFonts w:hint="eastAsia"/>
          <w:color w:val="auto"/>
          <w:lang w:val="en-US" w:eastAsia="zh-CN"/>
        </w:rPr>
        <w:t>“</w:t>
      </w:r>
      <w:r>
        <w:rPr>
          <w:rFonts w:hint="default"/>
          <w:color w:val="auto"/>
          <w:lang w:val="en-US" w:eastAsia="zh-CN"/>
        </w:rPr>
        <w:t>扬尘治理</w:t>
      </w:r>
      <w:r>
        <w:rPr>
          <w:rFonts w:hint="eastAsia"/>
          <w:color w:val="auto"/>
          <w:lang w:val="en-US" w:eastAsia="zh-CN"/>
        </w:rPr>
        <w:t>”</w:t>
      </w:r>
      <w:r>
        <w:rPr>
          <w:rFonts w:hint="default"/>
          <w:color w:val="auto"/>
          <w:lang w:val="en-US" w:eastAsia="zh-CN"/>
        </w:rPr>
        <w:t>和</w:t>
      </w:r>
      <w:r>
        <w:rPr>
          <w:rFonts w:hint="eastAsia"/>
          <w:color w:val="auto"/>
          <w:lang w:val="en-US" w:eastAsia="zh-CN"/>
        </w:rPr>
        <w:t>“</w:t>
      </w:r>
      <w:r>
        <w:rPr>
          <w:rFonts w:hint="default"/>
          <w:color w:val="auto"/>
          <w:lang w:val="en-US" w:eastAsia="zh-CN"/>
        </w:rPr>
        <w:t>安全生产文明施工</w:t>
      </w:r>
      <w:r>
        <w:rPr>
          <w:rFonts w:hint="eastAsia"/>
          <w:color w:val="auto"/>
          <w:lang w:val="en-US" w:eastAsia="zh-CN"/>
        </w:rPr>
        <w:t>”</w:t>
      </w:r>
      <w:r>
        <w:rPr>
          <w:rFonts w:hint="default"/>
          <w:color w:val="auto"/>
          <w:lang w:val="en-US" w:eastAsia="zh-CN"/>
        </w:rPr>
        <w:t>同部署、同落实、同考核，严格落实工地</w:t>
      </w:r>
      <w:r>
        <w:rPr>
          <w:rFonts w:hint="eastAsia"/>
          <w:color w:val="auto"/>
          <w:lang w:val="en-US" w:eastAsia="zh-CN"/>
        </w:rPr>
        <w:t>“</w:t>
      </w:r>
      <w:r>
        <w:rPr>
          <w:rFonts w:hint="default"/>
          <w:color w:val="auto"/>
          <w:lang w:val="en-US" w:eastAsia="zh-CN"/>
        </w:rPr>
        <w:t>四不开工、四不出门</w:t>
      </w:r>
      <w:r>
        <w:rPr>
          <w:rFonts w:hint="eastAsia"/>
          <w:color w:val="auto"/>
          <w:lang w:val="en-US" w:eastAsia="zh-CN"/>
        </w:rPr>
        <w:t>”管控</w:t>
      </w:r>
      <w:r>
        <w:rPr>
          <w:rFonts w:hint="default"/>
          <w:color w:val="auto"/>
          <w:lang w:val="en-US" w:eastAsia="zh-CN"/>
        </w:rPr>
        <w:t>措施</w:t>
      </w:r>
      <w:r>
        <w:rPr>
          <w:rFonts w:hint="eastAsia"/>
          <w:color w:val="auto"/>
          <w:lang w:val="en-US" w:eastAsia="zh-CN"/>
        </w:rPr>
        <w:t>。</w:t>
      </w:r>
      <w:r>
        <w:rPr>
          <w:rFonts w:hint="eastAsia"/>
          <w:color w:val="auto"/>
        </w:rPr>
        <w:t>建立施工企业环保守法信用管理制度，对失信企业纳入企业信用评价</w:t>
      </w:r>
      <w:r>
        <w:rPr>
          <w:rFonts w:hint="eastAsia"/>
          <w:color w:val="auto"/>
          <w:lang w:eastAsia="zh-CN"/>
        </w:rPr>
        <w:t>。</w:t>
      </w:r>
      <w:r>
        <w:rPr>
          <w:rFonts w:hint="default"/>
          <w:color w:val="auto"/>
          <w:lang w:val="en-US" w:eastAsia="zh-CN"/>
        </w:rPr>
        <w:t>按照全市统一部署，加快推进辖区内在建工地纳入市级</w:t>
      </w:r>
      <w:r>
        <w:rPr>
          <w:rFonts w:hint="eastAsia"/>
          <w:color w:val="auto"/>
          <w:lang w:val="en-US" w:eastAsia="zh-CN"/>
        </w:rPr>
        <w:t>“</w:t>
      </w:r>
      <w:r>
        <w:rPr>
          <w:rFonts w:hint="default"/>
          <w:color w:val="auto"/>
          <w:lang w:val="en-US" w:eastAsia="zh-CN"/>
        </w:rPr>
        <w:t>智慧工地</w:t>
      </w:r>
      <w:r>
        <w:rPr>
          <w:rFonts w:hint="eastAsia"/>
          <w:color w:val="auto"/>
          <w:lang w:val="en-US" w:eastAsia="zh-CN"/>
        </w:rPr>
        <w:t>”</w:t>
      </w:r>
      <w:r>
        <w:rPr>
          <w:rFonts w:hint="default"/>
          <w:color w:val="auto"/>
          <w:lang w:val="en-US" w:eastAsia="zh-CN"/>
        </w:rPr>
        <w:t>管理，分区域、分阶段推进建筑工地远程视频和 PM</w:t>
      </w:r>
      <w:r>
        <w:rPr>
          <w:rFonts w:hint="eastAsia"/>
          <w:color w:val="auto"/>
          <w:vertAlign w:val="subscript"/>
          <w:lang w:val="en-US" w:eastAsia="zh-CN"/>
        </w:rPr>
        <w:t>2.5</w:t>
      </w:r>
      <w:r>
        <w:rPr>
          <w:rFonts w:hint="default"/>
          <w:color w:val="auto"/>
          <w:lang w:val="en-US" w:eastAsia="zh-CN"/>
        </w:rPr>
        <w:t>、PM</w:t>
      </w:r>
      <w:r>
        <w:rPr>
          <w:rFonts w:hint="eastAsia"/>
          <w:color w:val="auto"/>
          <w:vertAlign w:val="subscript"/>
          <w:lang w:val="en-US" w:eastAsia="zh-CN"/>
        </w:rPr>
        <w:t>10</w:t>
      </w:r>
      <w:r>
        <w:rPr>
          <w:rFonts w:hint="default"/>
          <w:color w:val="auto"/>
          <w:lang w:val="en-US" w:eastAsia="zh-CN"/>
        </w:rPr>
        <w:t>在线监控设施的建设。强化道路扬尘精细管控，</w:t>
      </w:r>
      <w:r>
        <w:rPr>
          <w:rFonts w:hint="eastAsia"/>
          <w:color w:val="auto"/>
        </w:rPr>
        <w:t>提高道路清扫机械化和精细化作业水平</w:t>
      </w:r>
      <w:r>
        <w:rPr>
          <w:rFonts w:hint="eastAsia"/>
          <w:color w:val="auto"/>
          <w:lang w:eastAsia="zh-CN"/>
        </w:rPr>
        <w:t>，</w:t>
      </w:r>
      <w:r>
        <w:rPr>
          <w:rFonts w:hint="default"/>
          <w:color w:val="auto"/>
          <w:lang w:val="en-US" w:eastAsia="zh-CN"/>
        </w:rPr>
        <w:t>提高城市道路水洗机扫率，到2025年，力争城市中心城区道路宽度5米以上的机扫率达到95%以上，建成区主次</w:t>
      </w:r>
      <w:r>
        <w:rPr>
          <w:rFonts w:hint="eastAsia"/>
          <w:color w:val="auto"/>
          <w:lang w:val="en-US" w:eastAsia="zh-CN"/>
        </w:rPr>
        <w:t>干</w:t>
      </w:r>
      <w:r>
        <w:rPr>
          <w:rFonts w:hint="default"/>
          <w:color w:val="auto"/>
          <w:lang w:val="en-US" w:eastAsia="zh-CN"/>
        </w:rPr>
        <w:t>道的机扫率达到100%</w:t>
      </w:r>
      <w:r>
        <w:rPr>
          <w:rFonts w:hint="eastAsia"/>
          <w:color w:val="auto"/>
          <w:lang w:val="en-US" w:eastAsia="zh-CN"/>
        </w:rPr>
        <w:t>，到2030年，</w:t>
      </w:r>
      <w:r>
        <w:rPr>
          <w:rFonts w:hint="default"/>
          <w:color w:val="auto"/>
          <w:lang w:val="en-US" w:eastAsia="zh-CN"/>
        </w:rPr>
        <w:t>力争城市中心城区道路宽度5米以上的机扫率达到9</w:t>
      </w:r>
      <w:r>
        <w:rPr>
          <w:rFonts w:hint="eastAsia"/>
          <w:color w:val="auto"/>
          <w:lang w:val="en-US" w:eastAsia="zh-CN"/>
        </w:rPr>
        <w:t>7</w:t>
      </w:r>
      <w:r>
        <w:rPr>
          <w:rFonts w:hint="default"/>
          <w:color w:val="auto"/>
          <w:lang w:val="en-US" w:eastAsia="zh-CN"/>
        </w:rPr>
        <w:t>%以上。强化运输扬尘精细管控，</w:t>
      </w:r>
      <w:r>
        <w:rPr>
          <w:rFonts w:hint="eastAsia"/>
          <w:color w:val="auto"/>
        </w:rPr>
        <w:t>加强渣土运输车辆和运营公司的管理，</w:t>
      </w:r>
      <w:r>
        <w:rPr>
          <w:rFonts w:hint="default"/>
          <w:color w:val="auto"/>
          <w:lang w:val="en-US" w:eastAsia="zh-CN"/>
        </w:rPr>
        <w:t>渣土车实施全密闭运输，充分利用网络信息平台加强对运输车辆、出土工地和重点路段进行监控，严格查处建筑垃圾运输管理各类违法行为。强化堆场扬尘精细管控，以</w:t>
      </w:r>
      <w:r>
        <w:rPr>
          <w:rFonts w:hint="eastAsia"/>
          <w:color w:val="auto"/>
          <w:lang w:val="en-US" w:eastAsia="zh-CN"/>
        </w:rPr>
        <w:t>“</w:t>
      </w:r>
      <w:r>
        <w:rPr>
          <w:rFonts w:hint="default"/>
          <w:color w:val="auto"/>
          <w:lang w:val="en-US" w:eastAsia="zh-CN"/>
        </w:rPr>
        <w:t>非作业面全覆盖、作业面喷淋全覆盖、道路硬化全覆盖、车辆进出冲洗平台全覆盖</w:t>
      </w:r>
      <w:r>
        <w:rPr>
          <w:rFonts w:hint="eastAsia"/>
          <w:color w:val="auto"/>
          <w:lang w:val="en-US" w:eastAsia="zh-CN"/>
        </w:rPr>
        <w:t>”</w:t>
      </w:r>
      <w:r>
        <w:rPr>
          <w:rFonts w:hint="default"/>
          <w:color w:val="auto"/>
          <w:lang w:val="en-US" w:eastAsia="zh-CN"/>
        </w:rPr>
        <w:t>为目标，推动城市裸露地面、粉粒类物料堆放等基本完成抑尘设施建设和物料输送系统封闭改造。</w:t>
      </w:r>
    </w:p>
    <w:p>
      <w:pPr>
        <w:pStyle w:val="21"/>
        <w:bidi w:val="0"/>
        <w:rPr>
          <w:rFonts w:hint="eastAsia"/>
          <w:color w:val="auto"/>
          <w:lang w:val="en-US" w:eastAsia="zh-CN"/>
        </w:rPr>
      </w:pPr>
      <w:r>
        <w:rPr>
          <w:rFonts w:hint="default" w:ascii="Times New Roman" w:hAnsi="Times New Roman" w:cs="Times New Roman"/>
          <w:b/>
          <w:bCs/>
          <w:color w:val="auto"/>
          <w:lang w:val="en-US" w:eastAsia="zh-CN"/>
        </w:rPr>
        <w:t>强化</w:t>
      </w:r>
      <w:r>
        <w:rPr>
          <w:rFonts w:hint="eastAsia" w:cs="Times New Roman"/>
          <w:b/>
          <w:bCs/>
          <w:color w:val="auto"/>
          <w:lang w:val="en-US" w:eastAsia="zh-CN"/>
        </w:rPr>
        <w:t>“</w:t>
      </w:r>
      <w:r>
        <w:rPr>
          <w:rFonts w:hint="default" w:ascii="Times New Roman" w:hAnsi="Times New Roman" w:cs="Times New Roman"/>
          <w:b/>
          <w:bCs/>
          <w:color w:val="auto"/>
          <w:lang w:val="en-US" w:eastAsia="zh-CN"/>
        </w:rPr>
        <w:t>三烟</w:t>
      </w:r>
      <w:r>
        <w:rPr>
          <w:rFonts w:hint="eastAsia" w:cs="Times New Roman"/>
          <w:b/>
          <w:bCs/>
          <w:color w:val="auto"/>
          <w:lang w:val="en-US" w:eastAsia="zh-CN"/>
        </w:rPr>
        <w:t>”</w:t>
      </w:r>
      <w:r>
        <w:rPr>
          <w:rFonts w:hint="default" w:ascii="Times New Roman" w:hAnsi="Times New Roman" w:cs="Times New Roman"/>
          <w:b/>
          <w:bCs/>
          <w:color w:val="auto"/>
          <w:lang w:val="en-US" w:eastAsia="zh-CN"/>
        </w:rPr>
        <w:t>防治</w:t>
      </w:r>
      <w:r>
        <w:rPr>
          <w:rFonts w:hint="eastAsia" w:ascii="Times New Roman" w:hAnsi="Times New Roman" w:cs="Times New Roman"/>
          <w:b/>
          <w:bCs/>
          <w:color w:val="auto"/>
          <w:lang w:val="en-US" w:eastAsia="zh-CN"/>
        </w:rPr>
        <w:t>。</w:t>
      </w:r>
      <w:r>
        <w:rPr>
          <w:rFonts w:hint="default"/>
          <w:color w:val="auto"/>
          <w:lang w:val="en-US" w:eastAsia="zh-CN"/>
        </w:rPr>
        <w:t>进一步加大执法查处力度，对不正常使用油烟净化设施或者未采取其他油烟净化措施，超过排放标准排放油烟的餐饮服务业经营者依法予以行政处罚，对拒不改正的，责令停业整治，依法取缔露天烧烤，禁止建成区内露天烧烤</w:t>
      </w:r>
      <w:r>
        <w:rPr>
          <w:rFonts w:hint="eastAsia"/>
          <w:color w:val="auto"/>
          <w:lang w:val="en-US" w:eastAsia="zh-CN"/>
        </w:rPr>
        <w:t>。</w:t>
      </w:r>
      <w:r>
        <w:rPr>
          <w:rFonts w:hint="default"/>
          <w:color w:val="auto"/>
          <w:lang w:val="en-US" w:eastAsia="zh-CN"/>
        </w:rPr>
        <w:t>强化露天焚烧精细管控，严控经营户燃用散煤。持续做好城市烟花爆竹禁放工作，通过</w:t>
      </w:r>
      <w:r>
        <w:rPr>
          <w:rFonts w:hint="eastAsia"/>
          <w:color w:val="auto"/>
          <w:lang w:val="en-US" w:eastAsia="zh-CN"/>
        </w:rPr>
        <w:t>“</w:t>
      </w:r>
      <w:r>
        <w:rPr>
          <w:rFonts w:hint="default"/>
          <w:color w:val="auto"/>
          <w:lang w:val="en-US" w:eastAsia="zh-CN"/>
        </w:rPr>
        <w:t>人防+技防</w:t>
      </w:r>
      <w:r>
        <w:rPr>
          <w:rFonts w:hint="eastAsia"/>
          <w:color w:val="auto"/>
          <w:lang w:val="en-US" w:eastAsia="zh-CN"/>
        </w:rPr>
        <w:t>”</w:t>
      </w:r>
      <w:r>
        <w:rPr>
          <w:rFonts w:hint="default"/>
          <w:color w:val="auto"/>
          <w:lang w:val="en-US" w:eastAsia="zh-CN"/>
        </w:rPr>
        <w:t>精准打击违规燃放烟花爆竹行为，严厉查处非法储存、销售烟花爆竹行为</w:t>
      </w:r>
      <w:r>
        <w:rPr>
          <w:rFonts w:hint="eastAsia"/>
          <w:color w:val="auto"/>
          <w:lang w:val="en-US" w:eastAsia="zh-CN"/>
        </w:rPr>
        <w:t>，</w:t>
      </w:r>
      <w:r>
        <w:rPr>
          <w:rFonts w:hint="default"/>
          <w:color w:val="auto"/>
          <w:lang w:val="en-US" w:eastAsia="zh-CN"/>
        </w:rPr>
        <w:t>始终保持高压执法态势</w:t>
      </w:r>
      <w:r>
        <w:rPr>
          <w:rFonts w:hint="eastAsia"/>
          <w:color w:val="auto"/>
          <w:lang w:val="en-US" w:eastAsia="zh-CN"/>
        </w:rPr>
        <w:t>，</w:t>
      </w:r>
      <w:r>
        <w:rPr>
          <w:rFonts w:hint="default"/>
          <w:color w:val="auto"/>
          <w:lang w:val="en-US" w:eastAsia="zh-CN"/>
        </w:rPr>
        <w:t>城市建成区基本实现</w:t>
      </w:r>
      <w:r>
        <w:rPr>
          <w:rFonts w:hint="eastAsia"/>
          <w:color w:val="auto"/>
          <w:lang w:val="en-US" w:eastAsia="zh-CN"/>
        </w:rPr>
        <w:t>“</w:t>
      </w:r>
      <w:r>
        <w:rPr>
          <w:rFonts w:hint="default"/>
          <w:color w:val="auto"/>
          <w:lang w:val="en-US" w:eastAsia="zh-CN"/>
        </w:rPr>
        <w:t>零燃放</w:t>
      </w:r>
      <w:r>
        <w:rPr>
          <w:rFonts w:hint="eastAsia"/>
          <w:color w:val="auto"/>
          <w:lang w:val="en-US" w:eastAsia="zh-CN"/>
        </w:rPr>
        <w:t>”</w:t>
      </w:r>
      <w:r>
        <w:rPr>
          <w:rFonts w:hint="default"/>
          <w:color w:val="auto"/>
          <w:lang w:val="en-US" w:eastAsia="zh-CN"/>
        </w:rPr>
        <w:t>。加大秸秆露天禁烧管控力度，加强露天焚烧秸秆的监测预警</w:t>
      </w:r>
      <w:r>
        <w:rPr>
          <w:rFonts w:hint="eastAsia"/>
          <w:color w:val="auto"/>
          <w:lang w:val="en-US" w:eastAsia="zh-CN"/>
        </w:rPr>
        <w:t>，</w:t>
      </w:r>
      <w:r>
        <w:rPr>
          <w:rFonts w:hint="default"/>
          <w:color w:val="auto"/>
          <w:lang w:val="en-US" w:eastAsia="zh-CN"/>
        </w:rPr>
        <w:t>依法严厉打击露天焚烧秸秆行为</w:t>
      </w:r>
      <w:r>
        <w:rPr>
          <w:rFonts w:hint="eastAsia"/>
          <w:color w:val="auto"/>
          <w:lang w:val="en-US" w:eastAsia="zh-CN"/>
        </w:rPr>
        <w:t>，</w:t>
      </w:r>
      <w:r>
        <w:rPr>
          <w:rFonts w:hint="default"/>
          <w:color w:val="auto"/>
          <w:lang w:val="en-US" w:eastAsia="zh-CN"/>
        </w:rPr>
        <w:t>充分运用高空睛望、无人机等手段，提高露天焚烧火点监测精准度</w:t>
      </w:r>
      <w:r>
        <w:rPr>
          <w:rFonts w:hint="eastAsia"/>
          <w:color w:val="auto"/>
          <w:lang w:val="en-US" w:eastAsia="zh-CN"/>
        </w:rPr>
        <w:t>，</w:t>
      </w:r>
      <w:r>
        <w:rPr>
          <w:rFonts w:hint="default"/>
          <w:color w:val="auto"/>
          <w:lang w:val="en-US" w:eastAsia="zh-CN"/>
        </w:rPr>
        <w:t>做到火情及时发现并处置，坚决避免出现大型火点</w:t>
      </w:r>
      <w:r>
        <w:rPr>
          <w:rFonts w:hint="eastAsia"/>
          <w:color w:val="auto"/>
          <w:lang w:val="en-US" w:eastAsia="zh-CN"/>
        </w:rPr>
        <w:t>。</w:t>
      </w:r>
    </w:p>
    <w:p>
      <w:pPr>
        <w:pStyle w:val="21"/>
        <w:bidi w:val="0"/>
        <w:rPr>
          <w:rFonts w:hint="default"/>
          <w:color w:val="auto"/>
          <w:lang w:val="en-US" w:eastAsia="zh-CN"/>
        </w:rPr>
      </w:pPr>
      <w:r>
        <w:rPr>
          <w:rFonts w:hint="default" w:ascii="Times New Roman" w:hAnsi="Times New Roman" w:cs="Times New Roman"/>
          <w:b/>
          <w:bCs/>
          <w:color w:val="auto"/>
          <w:lang w:val="en-US" w:eastAsia="zh-CN"/>
        </w:rPr>
        <w:t>强化</w:t>
      </w:r>
      <w:r>
        <w:rPr>
          <w:rFonts w:hint="eastAsia" w:cs="Times New Roman"/>
          <w:b/>
          <w:bCs/>
          <w:color w:val="auto"/>
          <w:lang w:val="en-US" w:eastAsia="zh-CN"/>
        </w:rPr>
        <w:t>“</w:t>
      </w:r>
      <w:r>
        <w:rPr>
          <w:rFonts w:hint="default" w:ascii="Times New Roman" w:hAnsi="Times New Roman" w:cs="Times New Roman"/>
          <w:b/>
          <w:bCs/>
          <w:color w:val="auto"/>
          <w:lang w:val="en-US" w:eastAsia="zh-CN"/>
        </w:rPr>
        <w:t>三气</w:t>
      </w:r>
      <w:r>
        <w:rPr>
          <w:rFonts w:hint="eastAsia" w:cs="Times New Roman"/>
          <w:b/>
          <w:bCs/>
          <w:color w:val="auto"/>
          <w:lang w:val="en-US" w:eastAsia="zh-CN"/>
        </w:rPr>
        <w:t>”</w:t>
      </w:r>
      <w:r>
        <w:rPr>
          <w:rFonts w:hint="default" w:ascii="Times New Roman" w:hAnsi="Times New Roman" w:cs="Times New Roman"/>
          <w:b/>
          <w:bCs/>
          <w:color w:val="auto"/>
          <w:lang w:val="en-US" w:eastAsia="zh-CN"/>
        </w:rPr>
        <w:t>防治</w:t>
      </w:r>
      <w:r>
        <w:rPr>
          <w:rFonts w:hint="eastAsia" w:ascii="Times New Roman" w:hAnsi="Times New Roman" w:cs="Times New Roman"/>
          <w:b/>
          <w:bCs/>
          <w:color w:val="auto"/>
          <w:lang w:val="en-US" w:eastAsia="zh-CN"/>
        </w:rPr>
        <w:t>。</w:t>
      </w:r>
      <w:r>
        <w:rPr>
          <w:rFonts w:hint="default"/>
          <w:color w:val="auto"/>
          <w:lang w:val="en-US" w:eastAsia="zh-CN"/>
        </w:rPr>
        <w:t>强化工业企业废气精细管控，引导帮扶企业提高废气排放治理力度。充分利用黑烟车抓拍、遥感监测设备加大对冒黑烟车执法力度，依法打击超标排放等违法行为，对查出异常的车辆，除按规定进行处罚外，应倒查排放检验机构年检情况，杜绝柴油车排气口冒黑烟现象。全面实施机动车国六排放标准，加快推进重型运输车辆、公交车、出租车、城市货运等车辆的清洁能源替代。到2025年，公共领域新增或更新公交、出租、物流配送等车辆中新能源汽车比例不低于80%。完善充电站（桩）等配套基础设施的建设，明确建筑物配建停车场、城市公共停车场预留充电设施建设条件的要求和比例，加强移动源监管能力建设</w:t>
      </w:r>
      <w:r>
        <w:rPr>
          <w:rFonts w:hint="eastAsia"/>
          <w:color w:val="auto"/>
          <w:lang w:val="en-US" w:eastAsia="zh-CN"/>
        </w:rPr>
        <w:t>，</w:t>
      </w:r>
      <w:r>
        <w:rPr>
          <w:rFonts w:hint="default"/>
          <w:color w:val="auto"/>
          <w:lang w:val="en-US" w:eastAsia="zh-CN"/>
        </w:rPr>
        <w:t>建设移动源综合管控平台。</w:t>
      </w:r>
    </w:p>
    <w:p>
      <w:pPr>
        <w:pStyle w:val="21"/>
        <w:bidi w:val="0"/>
        <w:rPr>
          <w:rFonts w:hint="default"/>
          <w:color w:val="auto"/>
          <w:lang w:val="en-US" w:eastAsia="zh-CN"/>
        </w:rPr>
      </w:pPr>
      <w:r>
        <w:rPr>
          <w:rFonts w:hint="default" w:ascii="Times New Roman" w:hAnsi="Times New Roman" w:cs="Times New Roman"/>
          <w:b/>
          <w:bCs/>
          <w:color w:val="auto"/>
          <w:lang w:val="en-US" w:eastAsia="zh-CN"/>
        </w:rPr>
        <w:t>强化非道路移动源污染防控</w:t>
      </w:r>
      <w:r>
        <w:rPr>
          <w:rFonts w:hint="eastAsia" w:ascii="Times New Roman" w:hAnsi="Times New Roman" w:cs="Times New Roman"/>
          <w:b/>
          <w:bCs/>
          <w:color w:val="auto"/>
          <w:lang w:val="en-US" w:eastAsia="zh-CN"/>
        </w:rPr>
        <w:t>。</w:t>
      </w:r>
      <w:r>
        <w:rPr>
          <w:rFonts w:hint="default"/>
          <w:color w:val="auto"/>
          <w:lang w:val="en-US" w:eastAsia="zh-CN"/>
        </w:rPr>
        <w:t>实施非道路移动机械第四阶段排放标准，深化非道路移动源摸底调查和编码登记工作，扩大禁止使用高排放非道路移动机械的区域，采用电子标签、电子围栏、排气监控等技术手段对禁用区域进行实时监控。研究制定高排放非道路移动机械污染治理和淘汰更新工作方案，推进排放不达标非道路移动机械清洁化改造和淘汰，鼓励优先使用新能源非道路移动机械。</w:t>
      </w:r>
    </w:p>
    <w:p>
      <w:pPr>
        <w:pStyle w:val="21"/>
        <w:bidi w:val="0"/>
        <w:rPr>
          <w:rFonts w:hint="default"/>
          <w:color w:val="auto"/>
          <w:lang w:val="en-US" w:eastAsia="zh-CN"/>
        </w:rPr>
      </w:pPr>
      <w:r>
        <w:rPr>
          <w:rFonts w:hint="default" w:ascii="Times New Roman" w:hAnsi="Times New Roman" w:cs="Times New Roman"/>
          <w:b/>
          <w:bCs/>
          <w:color w:val="auto"/>
          <w:lang w:val="en-US" w:eastAsia="zh-CN"/>
        </w:rPr>
        <w:t>着力消除重污染天气</w:t>
      </w:r>
      <w:r>
        <w:rPr>
          <w:rFonts w:hint="eastAsia" w:ascii="Times New Roman" w:hAnsi="Times New Roman" w:cs="Times New Roman"/>
          <w:b/>
          <w:bCs/>
          <w:color w:val="auto"/>
          <w:lang w:val="en-US" w:eastAsia="zh-CN"/>
        </w:rPr>
        <w:t>。</w:t>
      </w:r>
      <w:r>
        <w:rPr>
          <w:rFonts w:hint="default"/>
          <w:color w:val="auto"/>
          <w:lang w:val="en-US" w:eastAsia="zh-CN"/>
        </w:rPr>
        <w:t>强化区域联防联控和重污染天气应对</w:t>
      </w:r>
      <w:r>
        <w:rPr>
          <w:rFonts w:hint="eastAsia"/>
          <w:color w:val="auto"/>
          <w:lang w:val="en-US" w:eastAsia="zh-CN"/>
        </w:rPr>
        <w:t>，</w:t>
      </w:r>
      <w:r>
        <w:rPr>
          <w:rFonts w:hint="default"/>
          <w:color w:val="auto"/>
          <w:lang w:val="en-US" w:eastAsia="zh-CN"/>
        </w:rPr>
        <w:t>常态化开展人工影响天气作业</w:t>
      </w:r>
      <w:r>
        <w:rPr>
          <w:rFonts w:hint="eastAsia"/>
          <w:color w:val="auto"/>
          <w:lang w:val="en-US" w:eastAsia="zh-CN"/>
        </w:rPr>
        <w:t>，</w:t>
      </w:r>
      <w:r>
        <w:rPr>
          <w:rFonts w:hint="default"/>
          <w:color w:val="auto"/>
          <w:lang w:val="en-US" w:eastAsia="zh-CN"/>
        </w:rPr>
        <w:t>健全空气预警机制</w:t>
      </w:r>
      <w:r>
        <w:rPr>
          <w:rFonts w:hint="eastAsia"/>
          <w:color w:val="auto"/>
          <w:lang w:val="en-US" w:eastAsia="zh-CN"/>
        </w:rPr>
        <w:t>，</w:t>
      </w:r>
      <w:r>
        <w:rPr>
          <w:rFonts w:hint="default"/>
          <w:color w:val="auto"/>
          <w:lang w:val="en-US" w:eastAsia="zh-CN"/>
        </w:rPr>
        <w:t>进一步降低PM</w:t>
      </w:r>
      <w:r>
        <w:rPr>
          <w:rFonts w:hint="default"/>
          <w:color w:val="auto"/>
          <w:vertAlign w:val="subscript"/>
          <w:lang w:val="en-US" w:eastAsia="zh-CN"/>
        </w:rPr>
        <w:t>2.5</w:t>
      </w:r>
      <w:r>
        <w:rPr>
          <w:rFonts w:hint="default"/>
          <w:color w:val="auto"/>
          <w:lang w:val="en-US" w:eastAsia="zh-CN"/>
        </w:rPr>
        <w:t>浓度。适时修订全区污染天气应急预案</w:t>
      </w:r>
      <w:r>
        <w:rPr>
          <w:rFonts w:hint="eastAsia"/>
          <w:color w:val="auto"/>
          <w:lang w:val="en-US" w:eastAsia="zh-CN"/>
        </w:rPr>
        <w:t>，</w:t>
      </w:r>
      <w:r>
        <w:rPr>
          <w:rFonts w:hint="default"/>
          <w:color w:val="auto"/>
          <w:lang w:val="en-US" w:eastAsia="zh-CN"/>
        </w:rPr>
        <w:t>完善污染天气应急预案体系和大气污染应急分级响应机制，实施重点行业企业绩效分级管理</w:t>
      </w:r>
      <w:r>
        <w:rPr>
          <w:rFonts w:hint="eastAsia"/>
          <w:color w:val="auto"/>
          <w:lang w:val="en-US" w:eastAsia="zh-CN"/>
        </w:rPr>
        <w:t>，</w:t>
      </w:r>
      <w:r>
        <w:rPr>
          <w:rFonts w:hint="default"/>
          <w:color w:val="auto"/>
          <w:lang w:val="en-US" w:eastAsia="zh-CN"/>
        </w:rPr>
        <w:t>根据臭氧污染型和颗粒物污染型天气，实施不同行业领域差别化应急减排，依法严厉打击不落实应急减排措施行为。充分运用雷达扫描、走航监测等科技手段，实施污染精准溯源，不断提升区域微环境治理水平，实现污染天气削峰保良。</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209" w:name="_Toc6173"/>
      <w:r>
        <w:rPr>
          <w:rFonts w:hint="eastAsia" w:cs="Times New Roman"/>
          <w:color w:val="auto"/>
          <w:lang w:val="en-US" w:eastAsia="zh-CN"/>
        </w:rPr>
        <w:t>2</w:t>
      </w:r>
      <w:r>
        <w:rPr>
          <w:rFonts w:hint="eastAsia" w:ascii="Times New Roman" w:hAnsi="Times New Roman" w:cs="Times New Roman"/>
          <w:color w:val="auto"/>
          <w:lang w:val="en-US" w:eastAsia="zh-CN"/>
        </w:rPr>
        <w:t>.全方位打好碧水保卫战</w:t>
      </w:r>
      <w:bookmarkEnd w:id="209"/>
    </w:p>
    <w:p>
      <w:pPr>
        <w:pStyle w:val="21"/>
        <w:bidi w:val="0"/>
        <w:rPr>
          <w:rFonts w:hint="eastAsia"/>
          <w:color w:val="auto"/>
          <w:lang w:val="en-US" w:eastAsia="zh-CN"/>
        </w:rPr>
      </w:pPr>
      <w:r>
        <w:rPr>
          <w:rFonts w:hint="default"/>
          <w:b/>
          <w:bCs/>
          <w:color w:val="auto"/>
          <w:lang w:val="en-US" w:eastAsia="zh-CN"/>
        </w:rPr>
        <w:t>提升饮用水安全保障水平</w:t>
      </w:r>
      <w:r>
        <w:rPr>
          <w:rFonts w:hint="eastAsia"/>
          <w:b/>
          <w:bCs/>
          <w:color w:val="auto"/>
          <w:lang w:val="en-US" w:eastAsia="zh-CN"/>
        </w:rPr>
        <w:t>。</w:t>
      </w:r>
      <w:r>
        <w:rPr>
          <w:rFonts w:hint="default"/>
          <w:color w:val="auto"/>
          <w:lang w:val="en-US" w:eastAsia="zh-CN"/>
        </w:rPr>
        <w:t>常态化开展饮用水水源地保护区污染源排查整治工作，加强全区 集中式饮用水水源保护区</w:t>
      </w:r>
      <w:r>
        <w:rPr>
          <w:rFonts w:hint="eastAsia"/>
          <w:color w:val="auto"/>
          <w:lang w:val="en-US" w:eastAsia="zh-CN"/>
        </w:rPr>
        <w:t>内环境</w:t>
      </w:r>
      <w:r>
        <w:rPr>
          <w:rFonts w:hint="default"/>
          <w:color w:val="auto"/>
          <w:lang w:val="en-US" w:eastAsia="zh-CN"/>
        </w:rPr>
        <w:t>保护，</w:t>
      </w:r>
      <w:r>
        <w:rPr>
          <w:rFonts w:hint="eastAsia"/>
          <w:color w:val="auto"/>
          <w:lang w:val="en-US" w:eastAsia="zh-CN"/>
        </w:rPr>
        <w:t>推进饮用水安全保障提升专项行动。加强界碑、宣传牌、交通警示牌等标识以及隔离防护设施的建设及更新维护；提高环境监管力度，依法清理整治保护区内违法建设项目、违建别墅、工业污染、农业面源污染、生活面源污染等问题。</w:t>
      </w:r>
      <w:r>
        <w:rPr>
          <w:rFonts w:hint="eastAsia"/>
          <w:color w:val="auto"/>
        </w:rPr>
        <w:t>定期监测、检测和评估区域内饮用水水源、供水厂出水和用户水龙头水质等饮水安全状况，</w:t>
      </w:r>
      <w:r>
        <w:rPr>
          <w:rFonts w:hint="eastAsia"/>
          <w:color w:val="auto"/>
          <w:lang w:val="en-US" w:eastAsia="zh-CN"/>
        </w:rPr>
        <w:t>并及时</w:t>
      </w:r>
      <w:r>
        <w:rPr>
          <w:rFonts w:hint="eastAsia"/>
          <w:color w:val="auto"/>
        </w:rPr>
        <w:t>向社会公开饮水安全状况。</w:t>
      </w:r>
      <w:r>
        <w:rPr>
          <w:rFonts w:hint="default"/>
          <w:color w:val="auto"/>
          <w:lang w:val="en-US" w:eastAsia="zh-CN"/>
        </w:rPr>
        <w:t>到2025年，集中式饮用水水源水质达到或优于I类比例为100%</w:t>
      </w:r>
      <w:r>
        <w:rPr>
          <w:rFonts w:hint="eastAsia"/>
          <w:color w:val="auto"/>
          <w:lang w:val="en-US" w:eastAsia="zh-CN"/>
        </w:rPr>
        <w:t>。指导乡镇（街办）进一步完善多水源互为备用的城区供水保障体系。持续推进城乡供水一体化。</w:t>
      </w:r>
    </w:p>
    <w:p>
      <w:pPr>
        <w:pStyle w:val="21"/>
        <w:bidi w:val="0"/>
        <w:rPr>
          <w:rFonts w:hint="default"/>
          <w:color w:val="auto"/>
          <w:lang w:val="en-US" w:eastAsia="zh-CN"/>
        </w:rPr>
      </w:pPr>
      <w:r>
        <w:rPr>
          <w:rFonts w:hint="default" w:ascii="Times New Roman" w:hAnsi="Times New Roman" w:cs="Times New Roman"/>
          <w:b/>
          <w:bCs/>
          <w:color w:val="auto"/>
          <w:lang w:val="en-US" w:eastAsia="zh-CN"/>
        </w:rPr>
        <w:t>提升城镇生活污水收集处理水平</w:t>
      </w:r>
      <w:r>
        <w:rPr>
          <w:rFonts w:hint="eastAsia" w:ascii="Times New Roman" w:hAnsi="Times New Roman" w:cs="Times New Roman"/>
          <w:b/>
          <w:bCs/>
          <w:color w:val="auto"/>
          <w:lang w:val="en-US" w:eastAsia="zh-CN"/>
        </w:rPr>
        <w:t>。</w:t>
      </w:r>
      <w:r>
        <w:rPr>
          <w:rFonts w:hint="default"/>
          <w:color w:val="auto"/>
          <w:lang w:val="en-US" w:eastAsia="zh-CN"/>
        </w:rPr>
        <w:t>围绕</w:t>
      </w:r>
      <w:bookmarkStart w:id="333" w:name="_GoBack"/>
      <w:bookmarkEnd w:id="333"/>
      <w:r>
        <w:rPr>
          <w:rFonts w:hint="eastAsia"/>
          <w:color w:val="auto"/>
          <w:lang w:val="en-US" w:eastAsia="zh-CN"/>
        </w:rPr>
        <w:t>中央生态环境保护督察</w:t>
      </w:r>
      <w:r>
        <w:rPr>
          <w:rFonts w:hint="default"/>
          <w:color w:val="auto"/>
          <w:lang w:val="en-US" w:eastAsia="zh-CN"/>
        </w:rPr>
        <w:t>典型案例整改工作，按照系统规划的原则，全面查清建城区管网底数，按照整治要求和划定的排水单元网格，循序推进管网错接混接漏接改造。全力推进小区内雨污分流工作</w:t>
      </w:r>
      <w:r>
        <w:rPr>
          <w:rFonts w:hint="eastAsia"/>
          <w:color w:val="auto"/>
          <w:lang w:val="en-US" w:eastAsia="zh-CN"/>
        </w:rPr>
        <w:t>，</w:t>
      </w:r>
      <w:r>
        <w:rPr>
          <w:rFonts w:hint="default"/>
          <w:color w:val="auto"/>
          <w:lang w:val="en-US" w:eastAsia="zh-CN"/>
        </w:rPr>
        <w:t>健全新建楼盘验收机制</w:t>
      </w:r>
      <w:r>
        <w:rPr>
          <w:rFonts w:hint="eastAsia"/>
          <w:color w:val="auto"/>
          <w:lang w:val="en-US" w:eastAsia="zh-CN"/>
        </w:rPr>
        <w:t>，</w:t>
      </w:r>
      <w:r>
        <w:rPr>
          <w:rFonts w:hint="default"/>
          <w:color w:val="auto"/>
          <w:lang w:val="en-US" w:eastAsia="zh-CN"/>
        </w:rPr>
        <w:t>规范物业对雨污管道的清理制度</w:t>
      </w:r>
      <w:r>
        <w:rPr>
          <w:rFonts w:hint="eastAsia"/>
          <w:color w:val="auto"/>
          <w:lang w:val="en-US" w:eastAsia="zh-CN"/>
        </w:rPr>
        <w:t>，</w:t>
      </w:r>
      <w:r>
        <w:rPr>
          <w:rFonts w:hint="default"/>
          <w:color w:val="auto"/>
          <w:lang w:val="en-US" w:eastAsia="zh-CN"/>
        </w:rPr>
        <w:t>加强水环境长效管理。严格管控排水管网建设质量，强化排水管材质量管控。通过对九龙湖污水处理厂周边管网病害和雨污混接的整治，加快提升九龙湖污水处理厂污水收集率，提升污水进水浓度，实现污水处理厂污水全收集、全处理。全面推进九龙湖污水处理厂二期扩建工程和</w:t>
      </w:r>
      <w:r>
        <w:rPr>
          <w:rFonts w:hint="eastAsia"/>
          <w:color w:val="auto"/>
          <w:lang w:val="en-US" w:eastAsia="zh-CN"/>
        </w:rPr>
        <w:t>生米街道</w:t>
      </w:r>
      <w:r>
        <w:rPr>
          <w:rFonts w:hint="default"/>
          <w:color w:val="auto"/>
          <w:lang w:val="en-US" w:eastAsia="zh-CN"/>
        </w:rPr>
        <w:t>生活污水分散式处理设施建设</w:t>
      </w:r>
      <w:r>
        <w:rPr>
          <w:rFonts w:hint="eastAsia"/>
          <w:color w:val="auto"/>
          <w:lang w:val="en-US" w:eastAsia="zh-CN"/>
        </w:rPr>
        <w:t>，</w:t>
      </w:r>
      <w:r>
        <w:rPr>
          <w:rFonts w:hint="default"/>
          <w:color w:val="auto"/>
          <w:lang w:val="en-US" w:eastAsia="zh-CN"/>
        </w:rPr>
        <w:t>对城区生活污水处理进一步提质增效。推进污泥无害化资源化处置，鼓励污泥用于土地改良和园林绿化，污泥农用时进行稳定化和无害化处理。到 2025年，基本消除城市建成区生活污水直排口和收集处理设施空白区，全区</w:t>
      </w:r>
      <w:r>
        <w:rPr>
          <w:rFonts w:hint="eastAsia"/>
          <w:color w:val="auto"/>
          <w:lang w:val="en-US" w:eastAsia="zh-CN"/>
        </w:rPr>
        <w:t>城镇污水处理率</w:t>
      </w:r>
      <w:r>
        <w:rPr>
          <w:rFonts w:hint="default"/>
          <w:color w:val="auto"/>
          <w:lang w:val="en-US" w:eastAsia="zh-CN"/>
        </w:rPr>
        <w:t>力争达到</w:t>
      </w:r>
      <w:r>
        <w:rPr>
          <w:rFonts w:hint="eastAsia"/>
          <w:color w:val="auto"/>
          <w:lang w:val="en-US" w:eastAsia="zh-CN"/>
        </w:rPr>
        <w:t>96</w:t>
      </w:r>
      <w:r>
        <w:rPr>
          <w:rFonts w:hint="default"/>
          <w:color w:val="auto"/>
          <w:lang w:val="en-US" w:eastAsia="zh-CN"/>
        </w:rPr>
        <w:t>%以上，污水处理率</w:t>
      </w:r>
      <w:r>
        <w:rPr>
          <w:rFonts w:hint="eastAsia"/>
          <w:color w:val="auto"/>
          <w:lang w:val="en-US" w:eastAsia="zh-CN"/>
        </w:rPr>
        <w:t>稳步提升</w:t>
      </w:r>
      <w:r>
        <w:rPr>
          <w:rFonts w:hint="default"/>
          <w:color w:val="auto"/>
          <w:lang w:val="en-US" w:eastAsia="zh-CN"/>
        </w:rPr>
        <w:t>。</w:t>
      </w:r>
    </w:p>
    <w:p>
      <w:pPr>
        <w:pStyle w:val="21"/>
        <w:bidi w:val="0"/>
        <w:rPr>
          <w:rFonts w:hint="default"/>
          <w:color w:val="auto"/>
          <w:lang w:val="en-US" w:eastAsia="zh-CN"/>
        </w:rPr>
      </w:pPr>
      <w:r>
        <w:rPr>
          <w:rFonts w:hint="default" w:ascii="Times New Roman" w:hAnsi="Times New Roman" w:cs="Times New Roman"/>
          <w:b/>
          <w:bCs/>
          <w:color w:val="auto"/>
          <w:lang w:val="en-US" w:eastAsia="zh-CN"/>
        </w:rPr>
        <w:t>持续推进城市黑臭水体治理</w:t>
      </w:r>
      <w:r>
        <w:rPr>
          <w:rFonts w:hint="eastAsia" w:ascii="Times New Roman" w:hAnsi="Times New Roman" w:cs="Times New Roman"/>
          <w:b/>
          <w:bCs/>
          <w:color w:val="auto"/>
          <w:lang w:val="en-US" w:eastAsia="zh-CN"/>
        </w:rPr>
        <w:t>。</w:t>
      </w:r>
      <w:r>
        <w:rPr>
          <w:rFonts w:hint="default"/>
          <w:color w:val="auto"/>
          <w:lang w:val="en-US" w:eastAsia="zh-CN"/>
        </w:rPr>
        <w:t>系统推进城市黑臭水体治理，</w:t>
      </w:r>
      <w:r>
        <w:rPr>
          <w:rFonts w:hint="eastAsia"/>
          <w:color w:val="auto"/>
        </w:rPr>
        <w:t>对于建成区已完成治理的水体，制定城市水体日常维护管理机制及污染预防保洁管护措施，不定期地组织</w:t>
      </w:r>
      <w:r>
        <w:rPr>
          <w:rFonts w:hint="eastAsia"/>
          <w:color w:val="auto"/>
          <w:lang w:eastAsia="zh-CN"/>
        </w:rPr>
        <w:t>“</w:t>
      </w:r>
      <w:r>
        <w:rPr>
          <w:rFonts w:hint="eastAsia"/>
          <w:color w:val="auto"/>
        </w:rPr>
        <w:t>回头看</w:t>
      </w:r>
      <w:r>
        <w:rPr>
          <w:rFonts w:hint="eastAsia"/>
          <w:color w:val="auto"/>
          <w:lang w:eastAsia="zh-CN"/>
        </w:rPr>
        <w:t>”</w:t>
      </w:r>
      <w:r>
        <w:rPr>
          <w:rFonts w:hint="eastAsia"/>
          <w:color w:val="auto"/>
        </w:rPr>
        <w:t>排查</w:t>
      </w:r>
      <w:r>
        <w:rPr>
          <w:rFonts w:hint="eastAsia"/>
          <w:color w:val="auto"/>
          <w:lang w:eastAsia="zh-CN"/>
        </w:rPr>
        <w:t>，</w:t>
      </w:r>
      <w:r>
        <w:rPr>
          <w:rFonts w:hint="default"/>
          <w:color w:val="auto"/>
          <w:lang w:val="en-US" w:eastAsia="zh-CN"/>
        </w:rPr>
        <w:t>建立防止返黑返臭的长效机制，巩固提升城市黑臭水体治理成效。开展建成区黑臭水体排查，对新排查出的疑似黑臭水体建立城市黑臭水体档案，按照</w:t>
      </w:r>
      <w:r>
        <w:rPr>
          <w:rFonts w:hint="eastAsia"/>
          <w:color w:val="auto"/>
          <w:lang w:val="en-US" w:eastAsia="zh-CN"/>
        </w:rPr>
        <w:t>“</w:t>
      </w:r>
      <w:r>
        <w:rPr>
          <w:rFonts w:hint="default"/>
          <w:color w:val="auto"/>
          <w:lang w:val="en-US" w:eastAsia="zh-CN"/>
        </w:rPr>
        <w:t>一河</w:t>
      </w:r>
      <w:r>
        <w:rPr>
          <w:rFonts w:hint="eastAsia"/>
          <w:color w:val="auto"/>
          <w:lang w:val="en-US" w:eastAsia="zh-CN"/>
        </w:rPr>
        <w:t>（</w:t>
      </w:r>
      <w:r>
        <w:rPr>
          <w:rFonts w:hint="default"/>
          <w:color w:val="auto"/>
          <w:lang w:val="en-US" w:eastAsia="zh-CN"/>
        </w:rPr>
        <w:t>湖</w:t>
      </w:r>
      <w:r>
        <w:rPr>
          <w:rFonts w:hint="eastAsia"/>
          <w:color w:val="auto"/>
          <w:lang w:val="en-US" w:eastAsia="zh-CN"/>
        </w:rPr>
        <w:t>）</w:t>
      </w:r>
      <w:r>
        <w:rPr>
          <w:rFonts w:hint="default"/>
          <w:color w:val="auto"/>
          <w:lang w:val="en-US" w:eastAsia="zh-CN"/>
        </w:rPr>
        <w:t>一策</w:t>
      </w:r>
      <w:r>
        <w:rPr>
          <w:rFonts w:hint="eastAsia"/>
          <w:color w:val="auto"/>
          <w:lang w:val="en-US" w:eastAsia="zh-CN"/>
        </w:rPr>
        <w:t>”</w:t>
      </w:r>
      <w:r>
        <w:rPr>
          <w:rFonts w:hint="default"/>
          <w:color w:val="auto"/>
          <w:lang w:val="en-US" w:eastAsia="zh-CN"/>
        </w:rPr>
        <w:t>原则，编制治理方案。开展水体内源污染治理和生态修复，增强河湖自净功能。</w:t>
      </w:r>
    </w:p>
    <w:p>
      <w:pPr>
        <w:pStyle w:val="21"/>
        <w:bidi w:val="0"/>
        <w:rPr>
          <w:color w:val="auto"/>
        </w:rPr>
      </w:pPr>
      <w:r>
        <w:rPr>
          <w:rFonts w:hint="eastAsia" w:ascii="Times New Roman" w:hAnsi="Times New Roman" w:cs="Times New Roman"/>
          <w:b/>
          <w:bCs/>
          <w:color w:val="auto"/>
          <w:lang w:val="en-US" w:eastAsia="zh-CN"/>
        </w:rPr>
        <w:t>强化入河排污口整治。</w:t>
      </w:r>
      <w:r>
        <w:rPr>
          <w:color w:val="auto"/>
          <w:lang w:val="en-US" w:eastAsia="zh-CN"/>
        </w:rPr>
        <w:t>强化入河排污口监督管理，</w:t>
      </w:r>
      <w:r>
        <w:rPr>
          <w:rFonts w:hint="eastAsia"/>
          <w:color w:val="auto"/>
        </w:rPr>
        <w:t>加强入河排污口排查溯源力度，建立入河排污口</w:t>
      </w:r>
      <w:r>
        <w:rPr>
          <w:rFonts w:hint="eastAsia"/>
          <w:color w:val="auto"/>
          <w:lang w:eastAsia="zh-CN"/>
        </w:rPr>
        <w:t>“</w:t>
      </w:r>
      <w:r>
        <w:rPr>
          <w:rFonts w:hint="eastAsia"/>
          <w:color w:val="auto"/>
        </w:rPr>
        <w:t>一口一档</w:t>
      </w:r>
      <w:r>
        <w:rPr>
          <w:rFonts w:hint="eastAsia"/>
          <w:color w:val="auto"/>
          <w:lang w:eastAsia="zh-CN"/>
        </w:rPr>
        <w:t>”</w:t>
      </w:r>
      <w:r>
        <w:rPr>
          <w:rFonts w:hint="eastAsia"/>
          <w:color w:val="auto"/>
        </w:rPr>
        <w:t>。制定</w:t>
      </w:r>
      <w:r>
        <w:rPr>
          <w:rFonts w:hint="eastAsia"/>
          <w:color w:val="auto"/>
          <w:lang w:eastAsia="zh-CN"/>
        </w:rPr>
        <w:t>“</w:t>
      </w:r>
      <w:r>
        <w:rPr>
          <w:rFonts w:hint="eastAsia"/>
          <w:color w:val="auto"/>
        </w:rPr>
        <w:t>一口一策</w:t>
      </w:r>
      <w:r>
        <w:rPr>
          <w:rFonts w:hint="eastAsia"/>
          <w:color w:val="auto"/>
          <w:lang w:eastAsia="zh-CN"/>
        </w:rPr>
        <w:t>”</w:t>
      </w:r>
      <w:r>
        <w:rPr>
          <w:rFonts w:hint="eastAsia"/>
          <w:color w:val="auto"/>
        </w:rPr>
        <w:t>整改方案，实施分期分批分类整治</w:t>
      </w:r>
      <w:r>
        <w:rPr>
          <w:rFonts w:hint="eastAsia"/>
          <w:color w:val="auto"/>
          <w:lang w:eastAsia="zh-CN"/>
        </w:rPr>
        <w:t>，</w:t>
      </w:r>
      <w:r>
        <w:rPr>
          <w:color w:val="auto"/>
          <w:lang w:val="en-US" w:eastAsia="zh-CN"/>
        </w:rPr>
        <w:t>完成红谷滩区长江入河排污口（赣江段）70%整治任务，推进流湖河、乌沙河、华南城水渠、石埠水、锦江、夹河、青山水及全区湖泊、水库排污口排查工作</w:t>
      </w:r>
      <w:r>
        <w:rPr>
          <w:rFonts w:hint="eastAsia"/>
          <w:color w:val="auto"/>
          <w:lang w:val="en-US" w:eastAsia="zh-CN"/>
        </w:rPr>
        <w:t>。</w:t>
      </w:r>
      <w:r>
        <w:rPr>
          <w:color w:val="auto"/>
          <w:lang w:val="en-US" w:eastAsia="zh-CN"/>
        </w:rPr>
        <w:t>持续推动入河排污口规范化建设</w:t>
      </w:r>
      <w:r>
        <w:rPr>
          <w:rFonts w:hint="eastAsia"/>
          <w:color w:val="auto"/>
          <w:lang w:val="en-US" w:eastAsia="zh-CN"/>
        </w:rPr>
        <w:t>，</w:t>
      </w:r>
      <w:r>
        <w:rPr>
          <w:rFonts w:hint="eastAsia"/>
          <w:color w:val="auto"/>
        </w:rPr>
        <w:t>对规模以上入河排污口进行重点标注实行动态管理，及时发现超标河段，提高重要入河排污口的风险预警预报能力</w:t>
      </w:r>
      <w:r>
        <w:rPr>
          <w:color w:val="auto"/>
          <w:lang w:val="en-US" w:eastAsia="zh-CN"/>
        </w:rPr>
        <w:t>。</w:t>
      </w:r>
    </w:p>
    <w:p>
      <w:pPr>
        <w:pStyle w:val="21"/>
        <w:bidi w:val="0"/>
        <w:rPr>
          <w:rFonts w:hint="eastAsia"/>
          <w:color w:val="auto"/>
        </w:rPr>
      </w:pPr>
      <w:r>
        <w:rPr>
          <w:rFonts w:hint="eastAsia" w:ascii="Times New Roman" w:hAnsi="Times New Roman" w:cs="Times New Roman"/>
          <w:b/>
          <w:bCs/>
          <w:color w:val="auto"/>
          <w:lang w:val="en-US" w:eastAsia="zh-CN"/>
        </w:rPr>
        <w:t>推动美丽河湖建设。</w:t>
      </w:r>
      <w:r>
        <w:rPr>
          <w:rFonts w:hint="eastAsia"/>
          <w:color w:val="auto"/>
        </w:rPr>
        <w:t>严格落实河（湖）长制。明确责任主体，严守生态保护红线及河湖岸线管控要求，扩大河湖岸线绿化</w:t>
      </w:r>
      <w:r>
        <w:rPr>
          <w:rFonts w:hint="eastAsia"/>
          <w:color w:val="auto"/>
          <w:lang w:eastAsia="zh-CN"/>
        </w:rPr>
        <w:t>。</w:t>
      </w:r>
      <w:r>
        <w:rPr>
          <w:rFonts w:hint="eastAsia"/>
          <w:color w:val="auto"/>
        </w:rPr>
        <w:t>实施河湖水网连通</w:t>
      </w:r>
      <w:r>
        <w:rPr>
          <w:rFonts w:hint="eastAsia"/>
          <w:color w:val="auto"/>
          <w:lang w:eastAsia="zh-CN"/>
        </w:rPr>
        <w:t>，</w:t>
      </w:r>
      <w:r>
        <w:rPr>
          <w:rFonts w:hint="eastAsia"/>
          <w:color w:val="auto"/>
        </w:rPr>
        <w:t>着重赣江前湖水系连通活化治理，结合水生态系统自然修复与人工辅助修复，改善城市湖泊水质，逐步恢复城市景观湖泊的生态功能。</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210" w:name="_Toc25241"/>
      <w:r>
        <w:rPr>
          <w:rFonts w:hint="eastAsia" w:cs="Times New Roman"/>
          <w:color w:val="auto"/>
          <w:lang w:val="en-US" w:eastAsia="zh-CN"/>
        </w:rPr>
        <w:t>3</w:t>
      </w:r>
      <w:r>
        <w:rPr>
          <w:rFonts w:hint="eastAsia" w:ascii="Times New Roman" w:hAnsi="Times New Roman" w:cs="Times New Roman"/>
          <w:color w:val="auto"/>
          <w:lang w:val="en-US" w:eastAsia="zh-CN"/>
        </w:rPr>
        <w:t>.高质量打好净土保卫战</w:t>
      </w:r>
      <w:bookmarkEnd w:id="210"/>
      <w:r>
        <w:rPr>
          <w:rFonts w:hint="eastAsia" w:ascii="Times New Roman" w:hAnsi="Times New Roman" w:cs="Times New Roman"/>
          <w:color w:val="auto"/>
          <w:lang w:val="en-US" w:eastAsia="zh-CN"/>
        </w:rPr>
        <w:t xml:space="preserve"> </w:t>
      </w:r>
    </w:p>
    <w:p>
      <w:pPr>
        <w:pStyle w:val="21"/>
        <w:bidi w:val="0"/>
        <w:rPr>
          <w:rFonts w:hint="default"/>
          <w:color w:val="auto"/>
          <w:lang w:val="en-US" w:eastAsia="zh-CN"/>
        </w:rPr>
      </w:pPr>
      <w:r>
        <w:rPr>
          <w:rFonts w:hint="default"/>
          <w:b/>
          <w:bCs/>
          <w:color w:val="auto"/>
          <w:lang w:val="en-US" w:eastAsia="zh-CN"/>
        </w:rPr>
        <w:t>加强建设用地土壤污染风险管控和修复治理</w:t>
      </w:r>
      <w:r>
        <w:rPr>
          <w:rFonts w:hint="eastAsia"/>
          <w:b/>
          <w:bCs/>
          <w:color w:val="auto"/>
          <w:lang w:val="en-US" w:eastAsia="zh-CN"/>
        </w:rPr>
        <w:t>。</w:t>
      </w:r>
      <w:r>
        <w:rPr>
          <w:rFonts w:hint="default"/>
          <w:color w:val="auto"/>
          <w:lang w:val="en-US" w:eastAsia="zh-CN"/>
        </w:rPr>
        <w:t>严格建设用地土壤污染风险管控和修复名录内地块的准入管理，动态更新污染地块名录。未依法完成土壤污染状况调查和风险评估的地块，不得开工建设与风险管控、修复无关的项目。</w:t>
      </w:r>
    </w:p>
    <w:p>
      <w:pPr>
        <w:pStyle w:val="21"/>
        <w:bidi w:val="0"/>
        <w:rPr>
          <w:rFonts w:hint="eastAsia"/>
          <w:color w:val="auto"/>
          <w:lang w:val="en-US" w:eastAsia="zh-CN"/>
        </w:rPr>
      </w:pPr>
      <w:r>
        <w:rPr>
          <w:rFonts w:hint="default" w:ascii="Times New Roman" w:hAnsi="Times New Roman" w:cs="Times New Roman"/>
          <w:b/>
          <w:bCs/>
          <w:color w:val="auto"/>
          <w:lang w:val="en-US" w:eastAsia="zh-CN"/>
        </w:rPr>
        <w:t>推进地下水污染管控和修复</w:t>
      </w:r>
      <w:r>
        <w:rPr>
          <w:rFonts w:hint="eastAsia" w:ascii="Times New Roman" w:hAnsi="Times New Roman" w:cs="Times New Roman"/>
          <w:b/>
          <w:bCs/>
          <w:color w:val="auto"/>
          <w:lang w:val="en-US" w:eastAsia="zh-CN"/>
        </w:rPr>
        <w:t>。</w:t>
      </w:r>
      <w:r>
        <w:rPr>
          <w:rFonts w:hint="eastAsia"/>
          <w:color w:val="auto"/>
        </w:rPr>
        <w:t>开展土壤和地下水污染协同防治。构建全过程的地下水环境监管机制，</w:t>
      </w:r>
      <w:r>
        <w:rPr>
          <w:rFonts w:hint="default"/>
          <w:color w:val="auto"/>
          <w:lang w:val="en-US" w:eastAsia="zh-CN"/>
        </w:rPr>
        <w:t>持续开展地下水环境状况调查评估，开展地下水污染修复</w:t>
      </w:r>
      <w:r>
        <w:rPr>
          <w:rFonts w:hint="eastAsia"/>
          <w:color w:val="auto"/>
          <w:lang w:val="en-US" w:eastAsia="zh-CN"/>
        </w:rPr>
        <w:t>，</w:t>
      </w:r>
      <w:r>
        <w:rPr>
          <w:rFonts w:hint="eastAsia"/>
          <w:color w:val="auto"/>
        </w:rPr>
        <w:t>开展修复完成后场地的地下水污染状况监测。</w:t>
      </w:r>
      <w:r>
        <w:rPr>
          <w:rFonts w:hint="default"/>
          <w:color w:val="auto"/>
          <w:lang w:val="en-US" w:eastAsia="zh-CN"/>
        </w:rPr>
        <w:t>到 2025年，确保地下水环境质量达到III标准</w:t>
      </w:r>
      <w:r>
        <w:rPr>
          <w:rFonts w:hint="eastAsia"/>
          <w:color w:val="auto"/>
          <w:lang w:val="en-US" w:eastAsia="zh-CN"/>
        </w:rPr>
        <w:t>；2030年，地下水</w:t>
      </w:r>
      <w:r>
        <w:rPr>
          <w:rFonts w:hint="default"/>
          <w:color w:val="auto"/>
          <w:lang w:val="en-US" w:eastAsia="zh-CN"/>
        </w:rPr>
        <w:t>环境质量</w:t>
      </w:r>
      <w:r>
        <w:rPr>
          <w:rFonts w:hint="eastAsia"/>
          <w:color w:val="auto"/>
          <w:lang w:val="en-US" w:eastAsia="zh-CN"/>
        </w:rPr>
        <w:t>进一步优化。</w:t>
      </w:r>
    </w:p>
    <w:p>
      <w:pPr>
        <w:pStyle w:val="21"/>
        <w:bidi w:val="0"/>
        <w:rPr>
          <w:rFonts w:hint="eastAsia"/>
          <w:color w:val="auto"/>
        </w:rPr>
      </w:pPr>
      <w:r>
        <w:rPr>
          <w:rFonts w:hint="eastAsia" w:ascii="Times New Roman" w:hAnsi="Times New Roman" w:cs="Times New Roman"/>
          <w:b/>
          <w:bCs/>
          <w:color w:val="auto"/>
          <w:lang w:val="en-US" w:eastAsia="zh-CN"/>
        </w:rPr>
        <w:t>构建土壤-地下水环境监测网络。</w:t>
      </w:r>
      <w:r>
        <w:rPr>
          <w:rFonts w:hint="eastAsia"/>
          <w:color w:val="auto"/>
        </w:rPr>
        <w:t>在配合做好土壤环境例行监测工作外，科学选取重点监控村庄，对农村土壤环境开展监测。优化土壤环境监测网络，以保护土壤环境、支撑风险管控为核心，建立</w:t>
      </w:r>
      <w:r>
        <w:rPr>
          <w:rFonts w:hint="eastAsia"/>
          <w:color w:val="auto"/>
          <w:lang w:eastAsia="zh-CN"/>
        </w:rPr>
        <w:t>“</w:t>
      </w:r>
      <w:r>
        <w:rPr>
          <w:rFonts w:hint="eastAsia"/>
          <w:color w:val="auto"/>
        </w:rPr>
        <w:t>分类监测、动态调整</w:t>
      </w:r>
      <w:r>
        <w:rPr>
          <w:rFonts w:hint="eastAsia"/>
          <w:color w:val="auto"/>
          <w:lang w:eastAsia="zh-CN"/>
        </w:rPr>
        <w:t>”</w:t>
      </w:r>
      <w:r>
        <w:rPr>
          <w:rFonts w:hint="eastAsia"/>
          <w:color w:val="auto"/>
        </w:rPr>
        <w:t>的土壤环境监测体系。整合生态环境、自然资源、水利等部门地下水监测井，建立地下水监测体系，开展地下水环境状况调查评估，实施地下水环境分区管理，完成地下水污染防治区划，明确地下水污染防治重点治理区和优先防控区。</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default" w:ascii="Times New Roman" w:hAnsi="Times New Roman" w:cs="Times New Roman"/>
          <w:color w:val="auto"/>
          <w:lang w:val="en-US" w:eastAsia="zh-CN"/>
        </w:rPr>
      </w:pPr>
      <w:bookmarkStart w:id="211" w:name="_Toc29884"/>
      <w:r>
        <w:rPr>
          <w:rFonts w:hint="eastAsia" w:cs="Times New Roman"/>
          <w:color w:val="auto"/>
          <w:lang w:val="en-US" w:eastAsia="zh-CN"/>
        </w:rPr>
        <w:t>4</w:t>
      </w:r>
      <w:r>
        <w:rPr>
          <w:rFonts w:hint="eastAsia" w:ascii="Times New Roman" w:hAnsi="Times New Roman" w:cs="Times New Roman"/>
          <w:color w:val="auto"/>
          <w:lang w:val="en-US" w:eastAsia="zh-CN"/>
        </w:rPr>
        <w:t>.加快探索无废城市建设</w:t>
      </w:r>
      <w:bookmarkEnd w:id="211"/>
    </w:p>
    <w:p>
      <w:pPr>
        <w:pStyle w:val="21"/>
        <w:bidi w:val="0"/>
        <w:rPr>
          <w:rFonts w:hint="eastAsia"/>
          <w:color w:val="auto"/>
        </w:rPr>
      </w:pPr>
      <w:r>
        <w:rPr>
          <w:rFonts w:hint="eastAsia"/>
          <w:b/>
          <w:bCs/>
          <w:color w:val="auto"/>
        </w:rPr>
        <w:t>强化生活垃圾源头减量</w:t>
      </w:r>
      <w:r>
        <w:rPr>
          <w:rFonts w:hint="eastAsia"/>
          <w:b/>
          <w:bCs/>
          <w:color w:val="auto"/>
          <w:lang w:eastAsia="zh-CN"/>
        </w:rPr>
        <w:t>。</w:t>
      </w:r>
      <w:r>
        <w:rPr>
          <w:rFonts w:hint="default"/>
          <w:color w:val="auto"/>
          <w:lang w:val="en-US" w:eastAsia="zh-CN"/>
        </w:rPr>
        <w:t>进一步完善垃圾分类配套设施</w:t>
      </w:r>
      <w:r>
        <w:rPr>
          <w:rFonts w:hint="eastAsia"/>
          <w:color w:val="auto"/>
          <w:lang w:val="en-US" w:eastAsia="zh-CN"/>
        </w:rPr>
        <w:t>，</w:t>
      </w:r>
      <w:r>
        <w:rPr>
          <w:rFonts w:hint="default"/>
          <w:color w:val="auto"/>
          <w:lang w:val="en-US" w:eastAsia="zh-CN"/>
        </w:rPr>
        <w:t>加大《江西省生活垃圾管理条例》的宣传力度。对现有垃圾中转站进行提升改造</w:t>
      </w:r>
      <w:r>
        <w:rPr>
          <w:rFonts w:hint="eastAsia"/>
          <w:color w:val="auto"/>
          <w:lang w:val="en-US" w:eastAsia="zh-CN"/>
        </w:rPr>
        <w:t>，</w:t>
      </w:r>
      <w:r>
        <w:rPr>
          <w:rFonts w:hint="default"/>
          <w:color w:val="auto"/>
          <w:lang w:val="en-US" w:eastAsia="zh-CN"/>
        </w:rPr>
        <w:t>启动大型垃圾分类中转站建设</w:t>
      </w:r>
      <w:r>
        <w:rPr>
          <w:rFonts w:hint="eastAsia"/>
          <w:color w:val="auto"/>
          <w:lang w:val="en-US" w:eastAsia="zh-CN"/>
        </w:rPr>
        <w:t>，</w:t>
      </w:r>
      <w:r>
        <w:rPr>
          <w:rFonts w:hint="default"/>
          <w:color w:val="auto"/>
          <w:lang w:val="en-US" w:eastAsia="zh-CN"/>
        </w:rPr>
        <w:t>规划建设建筑垃圾中转站。完善生活垃圾</w:t>
      </w:r>
      <w:r>
        <w:rPr>
          <w:rFonts w:hint="eastAsia"/>
          <w:color w:val="auto"/>
          <w:lang w:val="en-US" w:eastAsia="zh-CN"/>
        </w:rPr>
        <w:t>“</w:t>
      </w:r>
      <w:r>
        <w:rPr>
          <w:rFonts w:hint="default"/>
          <w:color w:val="auto"/>
          <w:lang w:val="en-US" w:eastAsia="zh-CN"/>
        </w:rPr>
        <w:t>全闭环</w:t>
      </w:r>
      <w:r>
        <w:rPr>
          <w:rFonts w:hint="eastAsia"/>
          <w:color w:val="auto"/>
          <w:lang w:val="en-US" w:eastAsia="zh-CN"/>
        </w:rPr>
        <w:t>”</w:t>
      </w:r>
      <w:r>
        <w:rPr>
          <w:rFonts w:hint="default"/>
          <w:color w:val="auto"/>
          <w:lang w:val="en-US" w:eastAsia="zh-CN"/>
        </w:rPr>
        <w:t>分类体系，加快实现生活垃圾</w:t>
      </w:r>
      <w:r>
        <w:rPr>
          <w:rFonts w:hint="eastAsia"/>
          <w:color w:val="auto"/>
          <w:lang w:val="en-US" w:eastAsia="zh-CN"/>
        </w:rPr>
        <w:t>“</w:t>
      </w:r>
      <w:r>
        <w:rPr>
          <w:rFonts w:hint="default"/>
          <w:color w:val="auto"/>
          <w:lang w:val="en-US" w:eastAsia="zh-CN"/>
        </w:rPr>
        <w:t>减量化、资源化、无害化</w:t>
      </w:r>
      <w:r>
        <w:rPr>
          <w:rFonts w:hint="eastAsia"/>
          <w:color w:val="auto"/>
          <w:lang w:val="en-US" w:eastAsia="zh-CN"/>
        </w:rPr>
        <w:t>”</w:t>
      </w:r>
      <w:r>
        <w:rPr>
          <w:rFonts w:hint="default"/>
          <w:color w:val="auto"/>
          <w:lang w:val="en-US" w:eastAsia="zh-CN"/>
        </w:rPr>
        <w:t>处理。到2025年</w:t>
      </w:r>
      <w:r>
        <w:rPr>
          <w:rFonts w:hint="eastAsia"/>
          <w:color w:val="auto"/>
          <w:lang w:val="en-US" w:eastAsia="zh-CN"/>
        </w:rPr>
        <w:t>，</w:t>
      </w:r>
      <w:r>
        <w:rPr>
          <w:rFonts w:hint="default"/>
          <w:color w:val="auto"/>
          <w:lang w:val="en-US" w:eastAsia="zh-CN"/>
        </w:rPr>
        <w:t>全区城镇生活垃圾无害化处理率持续达到100%。</w:t>
      </w:r>
      <w:r>
        <w:rPr>
          <w:rFonts w:hint="eastAsia"/>
          <w:color w:val="auto"/>
        </w:rPr>
        <w:t>推进餐厨垃圾无害化处理和资源化利用，扩大餐厨垃圾收运处理一体化服务，提升餐厨垃圾处理技术水平。探索餐厨垃圾</w:t>
      </w:r>
      <w:r>
        <w:rPr>
          <w:rFonts w:hint="eastAsia"/>
          <w:color w:val="auto"/>
          <w:lang w:eastAsia="zh-CN"/>
        </w:rPr>
        <w:t>（</w:t>
      </w:r>
      <w:r>
        <w:rPr>
          <w:rFonts w:hint="eastAsia"/>
          <w:color w:val="auto"/>
        </w:rPr>
        <w:t>含厨余垃圾等湿垃圾</w:t>
      </w:r>
      <w:r>
        <w:rPr>
          <w:rFonts w:hint="eastAsia"/>
          <w:color w:val="auto"/>
          <w:lang w:eastAsia="zh-CN"/>
        </w:rPr>
        <w:t>）</w:t>
      </w:r>
      <w:r>
        <w:rPr>
          <w:rFonts w:hint="eastAsia"/>
          <w:color w:val="auto"/>
        </w:rPr>
        <w:t>、污水处理厂污泥、园林垃圾等有机垃圾一体化处理和资源化利用模式。</w:t>
      </w:r>
    </w:p>
    <w:p>
      <w:pPr>
        <w:pStyle w:val="21"/>
        <w:bidi w:val="0"/>
        <w:rPr>
          <w:rFonts w:hint="default"/>
          <w:color w:val="auto"/>
          <w:lang w:val="en-US" w:eastAsia="zh-CN"/>
        </w:rPr>
      </w:pPr>
      <w:r>
        <w:rPr>
          <w:rFonts w:hint="default" w:ascii="Times New Roman" w:hAnsi="Times New Roman" w:cs="Times New Roman"/>
          <w:b/>
          <w:bCs/>
          <w:color w:val="auto"/>
          <w:lang w:val="en-US" w:eastAsia="zh-CN"/>
        </w:rPr>
        <w:t>开展塑料垃圾专项治理</w:t>
      </w:r>
      <w:r>
        <w:rPr>
          <w:rFonts w:hint="eastAsia" w:ascii="Times New Roman" w:hAnsi="Times New Roman" w:cs="Times New Roman"/>
          <w:b/>
          <w:bCs/>
          <w:color w:val="auto"/>
          <w:lang w:val="en-US" w:eastAsia="zh-CN"/>
        </w:rPr>
        <w:t>。</w:t>
      </w:r>
      <w:r>
        <w:rPr>
          <w:rFonts w:hint="default"/>
          <w:color w:val="auto"/>
          <w:lang w:val="en-US" w:eastAsia="zh-CN"/>
        </w:rPr>
        <w:t>加强塑料废弃物回收和清理。结合实施垃圾分类，加大塑料废弃物等可回收物分类收集和处理力度，禁止随意堆放、倾倒。在商业综合体、公路客运场站、火车站、机场、港口码头等塑料废弃物产生量大的场所增加投放设施，提高清运频次，完善转运、转移协作制度和监管制度。推动菜鸟驿站等快递收运站点设置快递包装的回收设施。鼓励电商外卖平台、环卫部门、回收企业合作开展塑料包装回收处置，在写字楼等重点区域投放快递包装、外卖餐盒等回收设施，重点支持专业化智能化回收设施投放运营等项目实施。探索建立塑料制品押金回收制度、回收现金返还制度、积分奖励制度。规范废旧渔网渔具回收处置，建立健全农业生产塑料制品生产者责任延伸制，鼓励农用塑料制品的销售经营者回收购买者交回的废旧农用塑料制品，构建全过程监管体系。实施塑料废弃物资源化利用项目，对分拣成本高、不宜资源化利用的塑料废弃物推行能源化利用，最大限度降低塑料垃圾直接填埋量。结合城乡环境综合整治，开展生活垃圾非正规堆放点、倾倒点排查整治工作，重点解决城乡结合部、环境敏感区、道路和江河湖泊、坑塘沟渠等处生活垃圾随意倾倒堆放导致的塑料污染问题。结合河湖长制开展江河湖泊塑料垃圾清理行动。实施农田残留地膜、农药化肥塑料包装等专项清理整治，逐步降低农田残留地膜量。</w:t>
      </w:r>
    </w:p>
    <w:p>
      <w:pPr>
        <w:pStyle w:val="21"/>
        <w:bidi w:val="0"/>
        <w:rPr>
          <w:rFonts w:hint="default"/>
          <w:color w:val="auto"/>
          <w:lang w:val="en-US" w:eastAsia="zh-CN"/>
        </w:rPr>
      </w:pPr>
      <w:r>
        <w:rPr>
          <w:rFonts w:hint="default" w:ascii="Times New Roman" w:hAnsi="Times New Roman" w:cs="Times New Roman"/>
          <w:b/>
          <w:bCs/>
          <w:color w:val="auto"/>
          <w:lang w:val="en-US" w:eastAsia="zh-CN"/>
        </w:rPr>
        <w:t>加强建筑垃圾资源化利用</w:t>
      </w:r>
      <w:r>
        <w:rPr>
          <w:rFonts w:hint="eastAsia" w:ascii="Times New Roman" w:hAnsi="Times New Roman" w:cs="Times New Roman"/>
          <w:b/>
          <w:bCs/>
          <w:color w:val="auto"/>
          <w:lang w:val="en-US" w:eastAsia="zh-CN"/>
        </w:rPr>
        <w:t>。</w:t>
      </w:r>
      <w:r>
        <w:rPr>
          <w:rFonts w:hint="default"/>
          <w:color w:val="auto"/>
          <w:lang w:val="en-US" w:eastAsia="zh-CN"/>
        </w:rPr>
        <w:t>推动实施固定式处置设施、移动式处置设施和现场就地处置设施相结合的建筑垃圾资源化利用模式。推进装配式建筑技术发展与应用，推广建筑垃圾再生产品的应用。完善建筑废弃物限额排放制度，推行排放核准、电子联单、污染者付费、信用管理等制度及源头责任、生态补偿机制。大力发展绿色建筑，推广装配式建筑应用，鼓励绿色施工、绿色装修，推行建筑绿色节能改造，提升建筑质量及耐久性，推动建筑垃圾源头减量。</w:t>
      </w:r>
    </w:p>
    <w:p>
      <w:pPr>
        <w:pStyle w:val="21"/>
        <w:bidi w:val="0"/>
        <w:rPr>
          <w:rFonts w:hint="default"/>
          <w:color w:val="auto"/>
          <w:lang w:val="en-US" w:eastAsia="zh-CN"/>
        </w:rPr>
      </w:pPr>
      <w:r>
        <w:rPr>
          <w:rFonts w:hint="default" w:ascii="Times New Roman" w:hAnsi="Times New Roman" w:cs="Times New Roman"/>
          <w:b/>
          <w:bCs/>
          <w:color w:val="auto"/>
          <w:lang w:val="en-US" w:eastAsia="zh-CN"/>
        </w:rPr>
        <w:t>提升危险废物收集与利用处置能力</w:t>
      </w:r>
      <w:r>
        <w:rPr>
          <w:rFonts w:hint="eastAsia" w:ascii="Times New Roman" w:hAnsi="Times New Roman" w:cs="Times New Roman"/>
          <w:b/>
          <w:bCs/>
          <w:color w:val="auto"/>
          <w:lang w:val="en-US" w:eastAsia="zh-CN"/>
        </w:rPr>
        <w:t>。</w:t>
      </w:r>
      <w:r>
        <w:rPr>
          <w:rFonts w:hint="default"/>
          <w:color w:val="auto"/>
          <w:lang w:val="en-US" w:eastAsia="zh-CN"/>
        </w:rPr>
        <w:t>全面排查</w:t>
      </w:r>
      <w:r>
        <w:rPr>
          <w:rFonts w:hint="eastAsia"/>
          <w:color w:val="auto"/>
          <w:lang w:val="en-US" w:eastAsia="zh-CN"/>
        </w:rPr>
        <w:t>，</w:t>
      </w:r>
      <w:r>
        <w:rPr>
          <w:rFonts w:hint="default"/>
          <w:color w:val="auto"/>
          <w:lang w:val="en-US" w:eastAsia="zh-CN"/>
        </w:rPr>
        <w:t>摸清危险废物产生、贮存、转移、利用、处置情况</w:t>
      </w:r>
      <w:r>
        <w:rPr>
          <w:rFonts w:hint="eastAsia"/>
          <w:color w:val="auto"/>
          <w:lang w:val="en-US" w:eastAsia="zh-CN"/>
        </w:rPr>
        <w:t>，</w:t>
      </w:r>
      <w:r>
        <w:rPr>
          <w:rFonts w:hint="default"/>
          <w:color w:val="auto"/>
          <w:lang w:val="en-US" w:eastAsia="zh-CN"/>
        </w:rPr>
        <w:t>严厉打击危险废物非法转移行为</w:t>
      </w:r>
      <w:r>
        <w:rPr>
          <w:rFonts w:hint="eastAsia"/>
          <w:color w:val="auto"/>
          <w:lang w:val="en-US" w:eastAsia="zh-CN"/>
        </w:rPr>
        <w:t>，</w:t>
      </w:r>
      <w:r>
        <w:rPr>
          <w:rFonts w:hint="default"/>
          <w:color w:val="auto"/>
          <w:lang w:val="en-US" w:eastAsia="zh-CN"/>
        </w:rPr>
        <w:t>全面提升危险废物利用处置能力和全过程信息化监管水平。督促危险废物产生企业通过市危险废物监管平台备案危险废物管理计划</w:t>
      </w:r>
      <w:r>
        <w:rPr>
          <w:rFonts w:hint="eastAsia"/>
          <w:color w:val="auto"/>
          <w:lang w:val="en-US" w:eastAsia="zh-CN"/>
        </w:rPr>
        <w:t>，</w:t>
      </w:r>
      <w:r>
        <w:rPr>
          <w:rFonts w:hint="default"/>
          <w:color w:val="auto"/>
          <w:lang w:val="en-US" w:eastAsia="zh-CN"/>
        </w:rPr>
        <w:t>实施转移联单制度。加强对危险废物产生企业的现场检查力度，监督其危险废物得到规范处置。加强医疗废物分类管理</w:t>
      </w:r>
      <w:r>
        <w:rPr>
          <w:rFonts w:hint="eastAsia"/>
          <w:color w:val="auto"/>
          <w:lang w:val="en-US" w:eastAsia="zh-CN"/>
        </w:rPr>
        <w:t>，</w:t>
      </w:r>
      <w:r>
        <w:rPr>
          <w:rFonts w:hint="default"/>
          <w:color w:val="auto"/>
          <w:lang w:val="en-US" w:eastAsia="zh-CN"/>
        </w:rPr>
        <w:t>做好源头分类相关记录完善。医疗废物处置相关制度健全，同有集中处置能力的单位签订《医疗废物处置合同书》。加快医疗废弃物集中处理设施能力建设</w:t>
      </w:r>
      <w:r>
        <w:rPr>
          <w:rFonts w:hint="eastAsia"/>
          <w:color w:val="auto"/>
          <w:lang w:val="en-US" w:eastAsia="zh-CN"/>
        </w:rPr>
        <w:t>，</w:t>
      </w:r>
      <w:r>
        <w:rPr>
          <w:rFonts w:hint="default"/>
          <w:color w:val="auto"/>
          <w:lang w:val="en-US" w:eastAsia="zh-CN"/>
        </w:rPr>
        <w:t>推动实现医疗废物全收集、全处理。</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212" w:name="_Toc6781"/>
      <w:r>
        <w:rPr>
          <w:rFonts w:hint="eastAsia" w:cs="Times New Roman"/>
          <w:color w:val="auto"/>
          <w:lang w:val="en-US" w:eastAsia="zh-CN"/>
        </w:rPr>
        <w:t>5</w:t>
      </w:r>
      <w:r>
        <w:rPr>
          <w:rFonts w:hint="eastAsia" w:ascii="Times New Roman" w:hAnsi="Times New Roman" w:cs="Times New Roman"/>
          <w:color w:val="auto"/>
          <w:lang w:val="en-US" w:eastAsia="zh-CN"/>
        </w:rPr>
        <w:t>.深入打好农业农村污染防治攻坚战</w:t>
      </w:r>
      <w:bookmarkEnd w:id="212"/>
    </w:p>
    <w:p>
      <w:pPr>
        <w:pStyle w:val="21"/>
        <w:bidi w:val="0"/>
        <w:rPr>
          <w:rFonts w:hint="eastAsia" w:eastAsia="宋体"/>
          <w:color w:val="auto"/>
          <w:lang w:eastAsia="zh-CN"/>
        </w:rPr>
      </w:pPr>
      <w:r>
        <w:rPr>
          <w:rFonts w:hint="eastAsia"/>
          <w:b/>
          <w:bCs/>
          <w:color w:val="auto"/>
        </w:rPr>
        <w:t>加强种植业污染防治</w:t>
      </w:r>
      <w:r>
        <w:rPr>
          <w:rFonts w:hint="eastAsia"/>
          <w:b/>
          <w:bCs/>
          <w:color w:val="auto"/>
          <w:lang w:eastAsia="zh-CN"/>
        </w:rPr>
        <w:t>。</w:t>
      </w:r>
      <w:r>
        <w:rPr>
          <w:rFonts w:hint="eastAsia"/>
          <w:color w:val="auto"/>
        </w:rPr>
        <w:t>持续推进农药化肥减量增效，推动测土施肥、有机肥替代化肥等绿色技术，增加农田有机肥使用量，深入实施化肥减量化行动</w:t>
      </w:r>
      <w:r>
        <w:rPr>
          <w:rFonts w:hint="eastAsia"/>
          <w:color w:val="auto"/>
          <w:lang w:eastAsia="zh-CN"/>
        </w:rPr>
        <w:t>，</w:t>
      </w:r>
      <w:r>
        <w:rPr>
          <w:rFonts w:hint="eastAsia"/>
          <w:color w:val="auto"/>
        </w:rPr>
        <w:t>到2025年，主要农作物测土配方施肥技术推广率实现全覆盖。开展辖区内流通领域的化肥质量监督工作，杜绝不合格化肥用于农业生产。开展农药零增长专项治理。筛选高效、低风险、低毒、低残留农药，推广应用高活性低用量低风险的新农药新剂型，示范推广精准施药技术。结合化肥、农药施用强度现状及需求量，建立健全农药包装废弃物回收利用体系和长效机制</w:t>
      </w:r>
      <w:r>
        <w:rPr>
          <w:rFonts w:hint="eastAsia"/>
          <w:color w:val="auto"/>
          <w:lang w:eastAsia="zh-CN"/>
        </w:rPr>
        <w:t>。</w:t>
      </w:r>
      <w:r>
        <w:rPr>
          <w:rFonts w:hint="eastAsia"/>
          <w:color w:val="auto"/>
        </w:rPr>
        <w:t>开展化肥农药使用量调查监测</w:t>
      </w:r>
      <w:r>
        <w:rPr>
          <w:rFonts w:hint="eastAsia"/>
          <w:color w:val="auto"/>
          <w:lang w:eastAsia="zh-CN"/>
        </w:rPr>
        <w:t>，</w:t>
      </w:r>
      <w:r>
        <w:rPr>
          <w:rFonts w:hint="eastAsia"/>
          <w:color w:val="auto"/>
        </w:rPr>
        <w:t>加强农药肥料规范化管理，完善农药追溯体系建设</w:t>
      </w:r>
      <w:r>
        <w:rPr>
          <w:rFonts w:hint="eastAsia"/>
          <w:color w:val="auto"/>
          <w:lang w:eastAsia="zh-CN"/>
        </w:rPr>
        <w:t>，</w:t>
      </w:r>
      <w:r>
        <w:rPr>
          <w:rFonts w:hint="eastAsia"/>
          <w:color w:val="auto"/>
        </w:rPr>
        <w:t>推进农业绿色转型，提高利用效率。</w:t>
      </w:r>
    </w:p>
    <w:p>
      <w:pPr>
        <w:pStyle w:val="21"/>
        <w:bidi w:val="0"/>
        <w:rPr>
          <w:rFonts w:hint="eastAsia"/>
          <w:color w:val="auto"/>
        </w:rPr>
      </w:pPr>
      <w:r>
        <w:rPr>
          <w:rFonts w:hint="eastAsia" w:ascii="Times New Roman" w:hAnsi="Times New Roman" w:cs="Times New Roman"/>
          <w:b/>
          <w:bCs/>
          <w:color w:val="auto"/>
        </w:rPr>
        <w:t>强化养殖业污染防治</w:t>
      </w:r>
      <w:r>
        <w:rPr>
          <w:rFonts w:hint="eastAsia" w:ascii="Times New Roman" w:hAnsi="Times New Roman" w:cs="Times New Roman"/>
          <w:b/>
          <w:bCs/>
          <w:color w:val="auto"/>
          <w:lang w:eastAsia="zh-CN"/>
        </w:rPr>
        <w:t>。</w:t>
      </w:r>
      <w:r>
        <w:rPr>
          <w:rFonts w:hint="eastAsia"/>
          <w:color w:val="auto"/>
        </w:rPr>
        <w:t>规范畜禽养殖禁养区划定与管理</w:t>
      </w:r>
      <w:r>
        <w:rPr>
          <w:rFonts w:hint="eastAsia"/>
          <w:color w:val="auto"/>
          <w:lang w:eastAsia="zh-CN"/>
        </w:rPr>
        <w:t>，</w:t>
      </w:r>
      <w:r>
        <w:rPr>
          <w:rFonts w:hint="eastAsia"/>
          <w:color w:val="auto"/>
        </w:rPr>
        <w:t>继续巩固禁养区成果和推进非禁养区养殖场改造。促进分散型畜禽养殖向专业化、集约化、标准化方向发展。推动畜禽养殖抗菌用药使用减量化行动。加快老旧养殖场治污设施升级改造。坚持源头减量、过程控制、末端利用原则，强化非规模养殖场户污染防治和废弃物资源化利用工作</w:t>
      </w:r>
      <w:r>
        <w:rPr>
          <w:rFonts w:hint="eastAsia"/>
          <w:color w:val="auto"/>
          <w:lang w:eastAsia="zh-CN"/>
        </w:rPr>
        <w:t>，</w:t>
      </w:r>
      <w:r>
        <w:rPr>
          <w:rFonts w:hint="eastAsia"/>
          <w:color w:val="auto"/>
        </w:rPr>
        <w:t>推广区域性循环农业模式，探索实现畜禽养殖废弃物生态消纳有效途径。到2025年畜禽粪污综合利用率保持在</w:t>
      </w:r>
      <w:r>
        <w:rPr>
          <w:rFonts w:hint="eastAsia"/>
          <w:color w:val="auto"/>
          <w:lang w:val="en-US" w:eastAsia="zh-CN"/>
        </w:rPr>
        <w:t>95</w:t>
      </w:r>
      <w:r>
        <w:rPr>
          <w:rFonts w:hint="eastAsia"/>
          <w:color w:val="auto"/>
        </w:rPr>
        <w:t>%以上</w:t>
      </w:r>
      <w:r>
        <w:rPr>
          <w:rFonts w:hint="eastAsia"/>
          <w:color w:val="auto"/>
          <w:lang w:eastAsia="zh-CN"/>
        </w:rPr>
        <w:t>，</w:t>
      </w:r>
      <w:r>
        <w:rPr>
          <w:rFonts w:hint="eastAsia"/>
          <w:color w:val="auto"/>
          <w:lang w:val="en-US" w:eastAsia="zh-CN"/>
        </w:rPr>
        <w:t>2030年保持或进一步提升</w:t>
      </w:r>
      <w:r>
        <w:rPr>
          <w:rFonts w:hint="eastAsia"/>
          <w:color w:val="auto"/>
        </w:rPr>
        <w:t>。落实养殖水域滩涂规划制度，强化养殖水域滩涂使用和管理工作，推进养殖尾水治理及资源化利用</w:t>
      </w:r>
      <w:r>
        <w:rPr>
          <w:rFonts w:hint="eastAsia"/>
          <w:color w:val="auto"/>
          <w:lang w:eastAsia="zh-CN"/>
        </w:rPr>
        <w:t>。</w:t>
      </w:r>
      <w:r>
        <w:rPr>
          <w:rFonts w:hint="eastAsia"/>
          <w:color w:val="auto"/>
        </w:rPr>
        <w:t>强化种养结合、生态循环，推广种养一体化模式。推进绿色农业，以农业循环经济发展为重点，调整农业结构，统筹布局养殖业、沼气工程及周边农田、鱼塘，积极引导中小规模养殖场发展</w:t>
      </w:r>
      <w:r>
        <w:rPr>
          <w:rFonts w:hint="eastAsia"/>
          <w:color w:val="auto"/>
          <w:lang w:eastAsia="zh-CN"/>
        </w:rPr>
        <w:t>“</w:t>
      </w:r>
      <w:r>
        <w:rPr>
          <w:rFonts w:hint="eastAsia"/>
          <w:color w:val="auto"/>
        </w:rPr>
        <w:t>养-养结合（猪-沼-鱼、猪-鱼等）、养-种结合（猪-沼-果/林、猪-沼-菌等）</w:t>
      </w:r>
      <w:r>
        <w:rPr>
          <w:rFonts w:hint="eastAsia"/>
          <w:color w:val="auto"/>
          <w:lang w:eastAsia="zh-CN"/>
        </w:rPr>
        <w:t>”</w:t>
      </w:r>
      <w:r>
        <w:rPr>
          <w:rFonts w:hint="eastAsia"/>
          <w:color w:val="auto"/>
        </w:rPr>
        <w:t>以及</w:t>
      </w:r>
      <w:r>
        <w:rPr>
          <w:rFonts w:hint="eastAsia"/>
          <w:color w:val="auto"/>
          <w:lang w:eastAsia="zh-CN"/>
        </w:rPr>
        <w:t>“</w:t>
      </w:r>
      <w:r>
        <w:rPr>
          <w:rFonts w:hint="eastAsia"/>
          <w:color w:val="auto"/>
        </w:rPr>
        <w:t>养-养-种、养-种-养</w:t>
      </w:r>
      <w:r>
        <w:rPr>
          <w:rFonts w:hint="eastAsia"/>
          <w:color w:val="auto"/>
          <w:lang w:eastAsia="zh-CN"/>
        </w:rPr>
        <w:t>”</w:t>
      </w:r>
      <w:r>
        <w:rPr>
          <w:rFonts w:hint="eastAsia"/>
          <w:color w:val="auto"/>
        </w:rPr>
        <w:t>结合的种养一体化农业，推广绿色有机农产品，实现养殖业的立体种养以及资源综合循环利用。</w:t>
      </w:r>
    </w:p>
    <w:p>
      <w:pPr>
        <w:pStyle w:val="21"/>
        <w:bidi w:val="0"/>
        <w:rPr>
          <w:rFonts w:hint="eastAsia"/>
          <w:color w:val="auto"/>
        </w:rPr>
      </w:pPr>
      <w:r>
        <w:rPr>
          <w:rFonts w:hint="eastAsia" w:ascii="Times New Roman" w:hAnsi="Times New Roman" w:cs="Times New Roman"/>
          <w:b/>
          <w:bCs/>
          <w:color w:val="auto"/>
        </w:rPr>
        <w:t>强力推进农作物秆综合利用和废旧农膜回收</w:t>
      </w:r>
      <w:r>
        <w:rPr>
          <w:rFonts w:hint="eastAsia" w:ascii="Times New Roman" w:hAnsi="Times New Roman" w:cs="Times New Roman"/>
          <w:b/>
          <w:bCs/>
          <w:color w:val="auto"/>
          <w:lang w:eastAsia="zh-CN"/>
        </w:rPr>
        <w:t>。</w:t>
      </w:r>
      <w:r>
        <w:rPr>
          <w:rFonts w:hint="eastAsia"/>
          <w:color w:val="auto"/>
        </w:rPr>
        <w:t>围绕秸秆综合利用，完善利用制度、出台扶持政策、加强保障措施，加强秸秆还田利用，加大肥料化、基料化、能源化利用，基本建立较完善的秸秆田间处理、收集、储运体系，全面推动农作物秸秆综合利用</w:t>
      </w:r>
      <w:r>
        <w:rPr>
          <w:rFonts w:hint="eastAsia"/>
          <w:color w:val="auto"/>
          <w:lang w:eastAsia="zh-CN"/>
        </w:rPr>
        <w:t>，</w:t>
      </w:r>
      <w:r>
        <w:rPr>
          <w:rFonts w:hint="eastAsia"/>
          <w:color w:val="auto"/>
        </w:rPr>
        <w:t>到2025年力争秸秆综合利用率稳定在95%</w:t>
      </w:r>
      <w:r>
        <w:rPr>
          <w:rFonts w:hint="eastAsia"/>
          <w:color w:val="auto"/>
          <w:lang w:eastAsia="zh-CN"/>
        </w:rPr>
        <w:t>，</w:t>
      </w:r>
      <w:r>
        <w:rPr>
          <w:rFonts w:hint="eastAsia"/>
          <w:color w:val="auto"/>
          <w:lang w:val="en-US" w:eastAsia="zh-CN"/>
        </w:rPr>
        <w:t>2030年保持或进一步提升</w:t>
      </w:r>
      <w:r>
        <w:rPr>
          <w:rFonts w:hint="eastAsia"/>
          <w:color w:val="auto"/>
        </w:rPr>
        <w:t>。推广应用标准地膜和全生物可降解地膜，从源头上保证农田残膜可回收。支持农膜回收再利用企业和回收网点建设，建立健全农膜回收利用体系。</w:t>
      </w:r>
    </w:p>
    <w:p>
      <w:pPr>
        <w:pStyle w:val="21"/>
        <w:bidi w:val="0"/>
        <w:rPr>
          <w:rFonts w:hint="eastAsia"/>
          <w:color w:val="auto"/>
        </w:rPr>
      </w:pPr>
      <w:r>
        <w:rPr>
          <w:rFonts w:hint="eastAsia" w:ascii="Times New Roman" w:hAnsi="Times New Roman" w:cs="Times New Roman"/>
          <w:b/>
          <w:bCs/>
          <w:color w:val="auto"/>
        </w:rPr>
        <w:t>持续推进农村生活污染防治</w:t>
      </w:r>
      <w:r>
        <w:rPr>
          <w:rFonts w:hint="eastAsia" w:ascii="Times New Roman" w:hAnsi="Times New Roman" w:cs="Times New Roman"/>
          <w:b/>
          <w:bCs/>
          <w:color w:val="auto"/>
          <w:lang w:eastAsia="zh-CN"/>
        </w:rPr>
        <w:t>。</w:t>
      </w:r>
      <w:r>
        <w:rPr>
          <w:rFonts w:hint="eastAsia"/>
          <w:color w:val="auto"/>
        </w:rPr>
        <w:t>统筹推进农村改水、改厕与改污力度，分类有序推进农村厕所革命和生活污水治理</w:t>
      </w:r>
      <w:r>
        <w:rPr>
          <w:rFonts w:hint="eastAsia"/>
          <w:color w:val="auto"/>
          <w:lang w:eastAsia="zh-CN"/>
        </w:rPr>
        <w:t>。</w:t>
      </w:r>
      <w:r>
        <w:rPr>
          <w:rFonts w:hint="eastAsia"/>
          <w:color w:val="auto"/>
        </w:rPr>
        <w:t>普及农村户用水冲厕，合理布局农村公共厕所，加强厕所粪污无害化处理和资源化利用</w:t>
      </w:r>
      <w:r>
        <w:rPr>
          <w:rFonts w:hint="eastAsia"/>
          <w:color w:val="auto"/>
          <w:lang w:eastAsia="zh-CN"/>
        </w:rPr>
        <w:t>，</w:t>
      </w:r>
      <w:r>
        <w:rPr>
          <w:rFonts w:hint="eastAsia"/>
          <w:color w:val="auto"/>
          <w:lang w:val="en-US" w:eastAsia="zh-CN"/>
        </w:rPr>
        <w:t>到2025年，</w:t>
      </w:r>
      <w:r>
        <w:rPr>
          <w:rFonts w:hint="eastAsia"/>
          <w:color w:val="auto"/>
        </w:rPr>
        <w:t>农村卫生厕所普及率达到</w:t>
      </w:r>
      <w:r>
        <w:rPr>
          <w:rFonts w:hint="eastAsia"/>
          <w:color w:val="auto"/>
          <w:lang w:val="en-US" w:eastAsia="zh-CN"/>
        </w:rPr>
        <w:t>92</w:t>
      </w:r>
      <w:r>
        <w:rPr>
          <w:rFonts w:hint="eastAsia"/>
          <w:color w:val="auto"/>
        </w:rPr>
        <w:t>%以上</w:t>
      </w:r>
      <w:r>
        <w:rPr>
          <w:rFonts w:hint="eastAsia"/>
          <w:color w:val="auto"/>
          <w:lang w:eastAsia="zh-CN"/>
        </w:rPr>
        <w:t>，</w:t>
      </w:r>
      <w:r>
        <w:rPr>
          <w:rFonts w:hint="eastAsia"/>
          <w:color w:val="auto"/>
          <w:lang w:val="en-US" w:eastAsia="zh-CN"/>
        </w:rPr>
        <w:t>到2030年，</w:t>
      </w:r>
      <w:r>
        <w:rPr>
          <w:rFonts w:hint="eastAsia"/>
          <w:color w:val="auto"/>
        </w:rPr>
        <w:t>普及率达到</w:t>
      </w:r>
      <w:r>
        <w:rPr>
          <w:rFonts w:hint="eastAsia"/>
          <w:color w:val="auto"/>
          <w:lang w:val="en-US" w:eastAsia="zh-CN"/>
        </w:rPr>
        <w:t>96</w:t>
      </w:r>
      <w:r>
        <w:rPr>
          <w:rFonts w:hint="eastAsia"/>
          <w:color w:val="auto"/>
        </w:rPr>
        <w:t>%以上。结合农村</w:t>
      </w:r>
      <w:r>
        <w:rPr>
          <w:rFonts w:hint="eastAsia"/>
          <w:color w:val="auto"/>
          <w:lang w:eastAsia="zh-CN"/>
        </w:rPr>
        <w:t>“</w:t>
      </w:r>
      <w:r>
        <w:rPr>
          <w:rFonts w:hint="eastAsia"/>
          <w:color w:val="auto"/>
        </w:rPr>
        <w:t>改厕</w:t>
      </w:r>
      <w:r>
        <w:rPr>
          <w:rFonts w:hint="eastAsia"/>
          <w:color w:val="auto"/>
          <w:lang w:eastAsia="zh-CN"/>
        </w:rPr>
        <w:t>”</w:t>
      </w:r>
      <w:r>
        <w:rPr>
          <w:rFonts w:hint="eastAsia"/>
          <w:color w:val="auto"/>
        </w:rPr>
        <w:t>，科学确定农村生活污水收集及治理方式，加强农村生活污水处理设施及配套管网等建设</w:t>
      </w:r>
      <w:r>
        <w:rPr>
          <w:rFonts w:hint="eastAsia"/>
          <w:color w:val="auto"/>
          <w:lang w:eastAsia="zh-CN"/>
        </w:rPr>
        <w:t>，</w:t>
      </w:r>
      <w:r>
        <w:rPr>
          <w:rFonts w:hint="eastAsia"/>
          <w:color w:val="auto"/>
          <w:lang w:val="en-US" w:eastAsia="zh-CN"/>
        </w:rPr>
        <w:t>到2025年，</w:t>
      </w:r>
      <w:r>
        <w:rPr>
          <w:rFonts w:hint="default"/>
          <w:color w:val="auto"/>
          <w:lang w:val="en-US" w:eastAsia="zh-CN"/>
        </w:rPr>
        <w:t>农村生活污水治理率</w:t>
      </w:r>
      <w:r>
        <w:rPr>
          <w:rFonts w:hint="eastAsia"/>
          <w:color w:val="auto"/>
          <w:lang w:val="en-US" w:eastAsia="zh-CN"/>
        </w:rPr>
        <w:t>应不低于50%，2023年</w:t>
      </w:r>
      <w:r>
        <w:rPr>
          <w:rFonts w:hint="default"/>
          <w:color w:val="auto"/>
          <w:lang w:val="en-US" w:eastAsia="zh-CN"/>
        </w:rPr>
        <w:t>农村生活污水治理率</w:t>
      </w:r>
      <w:r>
        <w:rPr>
          <w:rFonts w:hint="eastAsia"/>
          <w:color w:val="auto"/>
          <w:lang w:val="en-US" w:eastAsia="zh-CN"/>
        </w:rPr>
        <w:t>应不低于60%</w:t>
      </w:r>
      <w:r>
        <w:rPr>
          <w:rFonts w:hint="eastAsia"/>
          <w:color w:val="auto"/>
        </w:rPr>
        <w:t>。因地制宜，近郊村庄延伸城镇污水管网优先纳厂处理，远郊村庄建设小型污水处理设施，精准施策、分散处理。健全农村环境基础设施建设运行标准规范，加紧已建成未运行污水站调试，强化老旧污水处理设施提升改造，鼓励采用投建管运一体化模式。加强污水处理设施执法监测，强化环境执法和有关帮扶。持续实施农村黑臭水体治理，建立健全农村黑臭水体排查发现机制，实现农村黑臭水体长效监管。提升农村生活垃圾处理处置能力。行政村布设垃圾分类收集容器，配置垃圾箱、转运车辆等配套设施，及时收运生活垃圾。完善</w:t>
      </w:r>
      <w:r>
        <w:rPr>
          <w:rFonts w:hint="eastAsia"/>
          <w:color w:val="auto"/>
          <w:lang w:eastAsia="zh-CN"/>
        </w:rPr>
        <w:t>“</w:t>
      </w:r>
      <w:r>
        <w:rPr>
          <w:rFonts w:hint="eastAsia"/>
          <w:color w:val="auto"/>
        </w:rPr>
        <w:t>户分类、村收集、乡转运、区域处理</w:t>
      </w:r>
      <w:r>
        <w:rPr>
          <w:rFonts w:hint="eastAsia"/>
          <w:color w:val="auto"/>
          <w:lang w:eastAsia="zh-CN"/>
        </w:rPr>
        <w:t>”</w:t>
      </w:r>
      <w:r>
        <w:rPr>
          <w:rFonts w:hint="eastAsia"/>
          <w:color w:val="auto"/>
        </w:rPr>
        <w:t>生活垃圾收运处置体系，推广城乡环卫</w:t>
      </w:r>
      <w:r>
        <w:rPr>
          <w:rFonts w:hint="eastAsia"/>
          <w:color w:val="auto"/>
          <w:lang w:eastAsia="zh-CN"/>
        </w:rPr>
        <w:t>“</w:t>
      </w:r>
      <w:r>
        <w:rPr>
          <w:rFonts w:hint="eastAsia"/>
          <w:color w:val="auto"/>
        </w:rPr>
        <w:t>全域一体化</w:t>
      </w:r>
      <w:r>
        <w:rPr>
          <w:rFonts w:hint="eastAsia"/>
          <w:color w:val="auto"/>
          <w:lang w:eastAsia="zh-CN"/>
        </w:rPr>
        <w:t>”</w:t>
      </w:r>
      <w:r>
        <w:rPr>
          <w:rFonts w:hint="eastAsia"/>
          <w:color w:val="auto"/>
        </w:rPr>
        <w:t>第三方治理。开展陈旧垃圾场治理，提升改造老旧垃圾转运站，完善农村生活垃圾处理设施规范化建设。加强农村生活垃圾管理，健全垃圾治理设施运营长效机制。</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213" w:name="_Toc16879"/>
      <w:r>
        <w:rPr>
          <w:rFonts w:hint="eastAsia" w:cs="Times New Roman"/>
          <w:color w:val="auto"/>
          <w:lang w:val="en-US" w:eastAsia="zh-CN"/>
        </w:rPr>
        <w:t>6</w:t>
      </w:r>
      <w:r>
        <w:rPr>
          <w:rFonts w:hint="eastAsia" w:ascii="Times New Roman" w:hAnsi="Times New Roman" w:cs="Times New Roman"/>
          <w:color w:val="auto"/>
          <w:lang w:val="en-US" w:eastAsia="zh-CN"/>
        </w:rPr>
        <w:t>.深入打好生态保护修复攻坚战</w:t>
      </w:r>
      <w:bookmarkEnd w:id="213"/>
    </w:p>
    <w:p>
      <w:pPr>
        <w:pStyle w:val="21"/>
        <w:bidi w:val="0"/>
        <w:rPr>
          <w:rFonts w:hint="eastAsia"/>
          <w:color w:val="auto"/>
        </w:rPr>
      </w:pPr>
      <w:r>
        <w:rPr>
          <w:rFonts w:hint="eastAsia"/>
          <w:b/>
          <w:bCs/>
          <w:color w:val="auto"/>
        </w:rPr>
        <w:t>推进重要生态系统修复</w:t>
      </w:r>
      <w:r>
        <w:rPr>
          <w:rFonts w:hint="eastAsia"/>
          <w:b/>
          <w:bCs/>
          <w:color w:val="auto"/>
          <w:lang w:eastAsia="zh-CN"/>
        </w:rPr>
        <w:t>，提升绿地生态服务功能。</w:t>
      </w:r>
      <w:r>
        <w:rPr>
          <w:rFonts w:hint="eastAsia"/>
          <w:color w:val="auto"/>
        </w:rPr>
        <w:t>按照系统修复、分类施策、因地制宜的原则，加强山水林田湖草沙一体化保护和修复</w:t>
      </w:r>
      <w:r>
        <w:rPr>
          <w:rFonts w:hint="eastAsia"/>
          <w:color w:val="auto"/>
          <w:lang w:eastAsia="zh-CN"/>
        </w:rPr>
        <w:t>，</w:t>
      </w:r>
      <w:r>
        <w:rPr>
          <w:rFonts w:hint="eastAsia"/>
          <w:color w:val="auto"/>
        </w:rPr>
        <w:t>加快融入全市山水林田湖草</w:t>
      </w:r>
      <w:r>
        <w:rPr>
          <w:rFonts w:hint="eastAsia"/>
          <w:color w:val="auto"/>
          <w:lang w:val="en-US" w:eastAsia="zh-CN"/>
        </w:rPr>
        <w:t>沙</w:t>
      </w:r>
      <w:r>
        <w:rPr>
          <w:rFonts w:hint="eastAsia"/>
          <w:color w:val="auto"/>
        </w:rPr>
        <w:t>生命共同体示范区建设。突出滨湖、沿江、临水生态优势，实施防洪排涝、截污控源、内源治理、水系连通、生态修复、景观打造</w:t>
      </w:r>
      <w:r>
        <w:rPr>
          <w:rFonts w:hint="eastAsia"/>
          <w:color w:val="auto"/>
          <w:lang w:eastAsia="zh-CN"/>
        </w:rPr>
        <w:t>，扎实开展赣江流域红谷滩段生态环境综合整治，打造水美、岸美的赣江最美岸线，充分彰显岸线多变、生态多样、洲岛多布、文化多元的独特魅力。</w:t>
      </w:r>
      <w:r>
        <w:rPr>
          <w:rFonts w:hint="eastAsia"/>
          <w:color w:val="auto"/>
        </w:rPr>
        <w:t>打造林长制升级版，持续开展国土绿化、森林质量提升行动，持续增加森林蓄积量。强化河长制湖长制，开展美丽河湖建设。推进各级公园建设，加强城市公园绿地、城郊生态绿地、绿化隔离地等建设，形成可达、亲民的绿色开敞空间。加快推进公共绿地和公共设施复合用地建设，积极推广立体绿化，增补微型绿色空间，多方位、多途径增加城市可视绿量。围绕建设</w:t>
      </w:r>
      <w:r>
        <w:rPr>
          <w:rFonts w:hint="eastAsia"/>
          <w:color w:val="auto"/>
          <w:lang w:eastAsia="zh-CN"/>
        </w:rPr>
        <w:t>“</w:t>
      </w:r>
      <w:r>
        <w:rPr>
          <w:rFonts w:hint="eastAsia"/>
          <w:color w:val="auto"/>
        </w:rPr>
        <w:t>生态典范、幸福标杆</w:t>
      </w:r>
      <w:r>
        <w:rPr>
          <w:rFonts w:hint="eastAsia"/>
          <w:color w:val="auto"/>
          <w:lang w:eastAsia="zh-CN"/>
        </w:rPr>
        <w:t>”，</w:t>
      </w:r>
      <w:r>
        <w:rPr>
          <w:rFonts w:hint="eastAsia"/>
          <w:color w:val="auto"/>
        </w:rPr>
        <w:t>按照城市双修的要求</w:t>
      </w:r>
      <w:r>
        <w:rPr>
          <w:rFonts w:hint="eastAsia"/>
          <w:color w:val="auto"/>
          <w:lang w:eastAsia="zh-CN"/>
        </w:rPr>
        <w:t>，</w:t>
      </w:r>
      <w:r>
        <w:rPr>
          <w:rFonts w:hint="eastAsia"/>
          <w:color w:val="auto"/>
        </w:rPr>
        <w:t>实施九龙湖新城西部组团生态修复工程</w:t>
      </w:r>
      <w:r>
        <w:rPr>
          <w:rFonts w:hint="eastAsia"/>
          <w:color w:val="auto"/>
          <w:lang w:eastAsia="zh-CN"/>
        </w:rPr>
        <w:t>，</w:t>
      </w:r>
      <w:r>
        <w:rPr>
          <w:rFonts w:hint="eastAsia"/>
          <w:color w:val="auto"/>
        </w:rPr>
        <w:t>大力推进道路景观绿化、生态修复、公园绿地等建设。</w:t>
      </w:r>
    </w:p>
    <w:p>
      <w:pPr>
        <w:pStyle w:val="21"/>
        <w:bidi w:val="0"/>
        <w:rPr>
          <w:rFonts w:hint="eastAsia"/>
          <w:color w:val="auto"/>
        </w:rPr>
      </w:pPr>
      <w:r>
        <w:rPr>
          <w:rFonts w:hint="eastAsia"/>
          <w:b/>
          <w:bCs/>
          <w:color w:val="auto"/>
        </w:rPr>
        <w:t>深入推进矿山</w:t>
      </w:r>
      <w:r>
        <w:rPr>
          <w:rFonts w:hint="default"/>
          <w:b/>
          <w:bCs/>
          <w:color w:val="auto"/>
          <w:lang w:val="en-US"/>
        </w:rPr>
        <w:t>开采</w:t>
      </w:r>
      <w:r>
        <w:rPr>
          <w:rFonts w:hint="eastAsia"/>
          <w:b/>
          <w:bCs/>
          <w:color w:val="auto"/>
        </w:rPr>
        <w:t>修复治理</w:t>
      </w:r>
      <w:r>
        <w:rPr>
          <w:rFonts w:hint="eastAsia"/>
          <w:b/>
          <w:bCs/>
          <w:color w:val="auto"/>
          <w:lang w:eastAsia="zh-CN"/>
        </w:rPr>
        <w:t>。</w:t>
      </w:r>
      <w:r>
        <w:rPr>
          <w:rFonts w:hint="eastAsia"/>
          <w:color w:val="auto"/>
        </w:rPr>
        <w:t>以保护优先、生态优先</w:t>
      </w:r>
      <w:r>
        <w:rPr>
          <w:rFonts w:hint="eastAsia"/>
          <w:color w:val="auto"/>
          <w:lang w:eastAsia="zh-CN"/>
        </w:rPr>
        <w:t>，</w:t>
      </w:r>
      <w:r>
        <w:rPr>
          <w:rFonts w:hint="eastAsia"/>
          <w:color w:val="auto"/>
        </w:rPr>
        <w:t>自然修复为主</w:t>
      </w:r>
      <w:r>
        <w:rPr>
          <w:rFonts w:hint="eastAsia"/>
          <w:color w:val="auto"/>
          <w:lang w:eastAsia="zh-CN"/>
        </w:rPr>
        <w:t>、</w:t>
      </w:r>
      <w:r>
        <w:rPr>
          <w:rFonts w:hint="eastAsia"/>
          <w:color w:val="auto"/>
        </w:rPr>
        <w:t>工程修复为辅</w:t>
      </w:r>
      <w:r>
        <w:rPr>
          <w:rFonts w:hint="eastAsia"/>
          <w:color w:val="auto"/>
          <w:lang w:eastAsia="zh-CN"/>
        </w:rPr>
        <w:t>，</w:t>
      </w:r>
      <w:r>
        <w:rPr>
          <w:rFonts w:hint="eastAsia"/>
          <w:color w:val="auto"/>
        </w:rPr>
        <w:t>全面部署、突出重点</w:t>
      </w:r>
      <w:r>
        <w:rPr>
          <w:rFonts w:hint="eastAsia"/>
          <w:color w:val="auto"/>
          <w:lang w:eastAsia="zh-CN"/>
        </w:rPr>
        <w:t>，</w:t>
      </w:r>
      <w:r>
        <w:rPr>
          <w:rFonts w:hint="eastAsia"/>
          <w:color w:val="auto"/>
        </w:rPr>
        <w:t>因地制宜</w:t>
      </w:r>
      <w:r>
        <w:rPr>
          <w:rFonts w:hint="eastAsia"/>
          <w:color w:val="auto"/>
          <w:lang w:eastAsia="zh-CN"/>
        </w:rPr>
        <w:t>、</w:t>
      </w:r>
      <w:r>
        <w:rPr>
          <w:rFonts w:hint="eastAsia"/>
          <w:color w:val="auto"/>
        </w:rPr>
        <w:t>合理修复</w:t>
      </w:r>
      <w:r>
        <w:rPr>
          <w:rFonts w:hint="eastAsia"/>
          <w:color w:val="auto"/>
          <w:lang w:eastAsia="zh-CN"/>
        </w:rPr>
        <w:t>，</w:t>
      </w:r>
      <w:r>
        <w:rPr>
          <w:rFonts w:hint="eastAsia"/>
          <w:color w:val="auto"/>
        </w:rPr>
        <w:t>分类施策、分步实施为原则</w:t>
      </w:r>
      <w:r>
        <w:rPr>
          <w:rFonts w:hint="eastAsia"/>
          <w:color w:val="auto"/>
          <w:lang w:eastAsia="zh-CN"/>
        </w:rPr>
        <w:t>，</w:t>
      </w:r>
      <w:r>
        <w:rPr>
          <w:rFonts w:hint="eastAsia"/>
          <w:color w:val="auto"/>
        </w:rPr>
        <w:t>扎实推进矿山生态环境问题排查整治，抓好突出问题整改，落实矿山开采生态修复责任</w:t>
      </w:r>
      <w:r>
        <w:rPr>
          <w:rFonts w:hint="eastAsia"/>
          <w:color w:val="auto"/>
          <w:lang w:eastAsia="zh-CN"/>
        </w:rPr>
        <w:t>，</w:t>
      </w:r>
      <w:r>
        <w:rPr>
          <w:rFonts w:hint="eastAsia"/>
          <w:color w:val="auto"/>
        </w:rPr>
        <w:t>大力发展绿色矿业，加快推进绿色矿山建设，提升矿山生态环境保护和治理水平。</w:t>
      </w:r>
    </w:p>
    <w:p>
      <w:pPr>
        <w:pStyle w:val="21"/>
        <w:bidi w:val="0"/>
        <w:rPr>
          <w:rFonts w:hint="eastAsia"/>
          <w:color w:val="auto"/>
        </w:rPr>
      </w:pPr>
      <w:r>
        <w:rPr>
          <w:rFonts w:hint="eastAsia"/>
          <w:b/>
          <w:bCs/>
          <w:color w:val="auto"/>
        </w:rPr>
        <w:t>加强生物多样性保护</w:t>
      </w:r>
      <w:r>
        <w:rPr>
          <w:rFonts w:hint="eastAsia"/>
          <w:b/>
          <w:bCs/>
          <w:color w:val="auto"/>
          <w:lang w:eastAsia="zh-CN"/>
        </w:rPr>
        <w:t>。</w:t>
      </w:r>
      <w:r>
        <w:rPr>
          <w:rFonts w:hint="eastAsia"/>
          <w:color w:val="auto"/>
        </w:rPr>
        <w:t>加大野生动植物重要分布区、栖息地的保护和野外巡护力度，坚决打击各类乱捕滥猎、盗采盗挖行为，取缔非法野生动物市场</w:t>
      </w:r>
      <w:r>
        <w:rPr>
          <w:rFonts w:hint="eastAsia"/>
          <w:color w:val="auto"/>
          <w:lang w:eastAsia="zh-CN"/>
        </w:rPr>
        <w:t>，</w:t>
      </w:r>
      <w:r>
        <w:rPr>
          <w:rFonts w:hint="eastAsia"/>
          <w:color w:val="auto"/>
        </w:rPr>
        <w:t>全面禁止非法交易野生动物，严厉打击破坏野生动植物资源行为。开展重点水域禁捕退捕保护专项行动，巩固提升禁捕退捕成果。开展外来入侵物种的调查工作，完善生物多样性监测预警。加强城市建设、农林规划与建设项目中对外来入侵物种的审批。综合运用化学药物、人工铲除、生物防治等相结合的防治措施，对危害严重的外来物种逐步实施有效的生态防治措施。加强转基因生物环境释放监管，开展转基因生物环境释放风险评价和跟踪监测。建立外来物种监测信息网，制定外来入侵物种环境应急方案和生物物种环境安全应急预测预警体系。</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214" w:name="_Toc5721"/>
      <w:bookmarkStart w:id="215" w:name="_Toc17396"/>
      <w:bookmarkStart w:id="216" w:name="_Toc15623"/>
      <w:bookmarkStart w:id="217" w:name="_Toc14831"/>
      <w:r>
        <w:rPr>
          <w:rFonts w:hint="eastAsia" w:cs="Times New Roman"/>
          <w:color w:val="auto"/>
          <w:lang w:val="en-US" w:eastAsia="zh-CN"/>
        </w:rPr>
        <w:t>7</w:t>
      </w:r>
      <w:r>
        <w:rPr>
          <w:rFonts w:hint="eastAsia" w:ascii="Times New Roman" w:hAnsi="Times New Roman" w:cs="Times New Roman"/>
          <w:color w:val="auto"/>
          <w:lang w:val="en-US" w:eastAsia="zh-CN"/>
        </w:rPr>
        <w:t>.控制温室气体排放，积极应对气候变化</w:t>
      </w:r>
      <w:bookmarkEnd w:id="214"/>
      <w:bookmarkEnd w:id="215"/>
      <w:bookmarkEnd w:id="216"/>
      <w:bookmarkEnd w:id="217"/>
      <w:r>
        <w:rPr>
          <w:rFonts w:hint="eastAsia" w:ascii="Times New Roman" w:hAnsi="Times New Roman" w:cs="Times New Roman"/>
          <w:color w:val="auto"/>
          <w:lang w:val="en-US" w:eastAsia="zh-CN"/>
        </w:rPr>
        <w:t xml:space="preserve"> </w:t>
      </w:r>
    </w:p>
    <w:p>
      <w:pPr>
        <w:pStyle w:val="21"/>
        <w:bidi w:val="0"/>
        <w:rPr>
          <w:rFonts w:hint="eastAsia"/>
          <w:color w:val="auto"/>
        </w:rPr>
      </w:pPr>
      <w:bookmarkStart w:id="218" w:name="_Toc15032"/>
      <w:bookmarkStart w:id="219" w:name="_Toc85206530"/>
      <w:r>
        <w:rPr>
          <w:rFonts w:hint="eastAsia"/>
          <w:b/>
          <w:bCs/>
          <w:color w:val="auto"/>
          <w:lang w:val="en-US" w:eastAsia="zh-CN"/>
        </w:rPr>
        <w:t>落实</w:t>
      </w:r>
      <w:r>
        <w:rPr>
          <w:rFonts w:hint="eastAsia"/>
          <w:b/>
          <w:bCs/>
          <w:color w:val="auto"/>
        </w:rPr>
        <w:t>碳排放碳达峰实施方案</w:t>
      </w:r>
      <w:bookmarkEnd w:id="218"/>
      <w:bookmarkEnd w:id="219"/>
      <w:r>
        <w:rPr>
          <w:rFonts w:hint="eastAsia"/>
          <w:b/>
          <w:bCs/>
          <w:color w:val="auto"/>
          <w:lang w:eastAsia="zh-CN"/>
        </w:rPr>
        <w:t>。</w:t>
      </w:r>
      <w:r>
        <w:rPr>
          <w:rFonts w:hint="eastAsia"/>
          <w:color w:val="auto"/>
        </w:rPr>
        <w:t>积极落实国家应对气候变化战略，围绕碳达峰目标和碳中和愿景，落实国家及省市碳达峰、碳中和战略部署</w:t>
      </w:r>
      <w:r>
        <w:rPr>
          <w:rFonts w:hint="eastAsia"/>
          <w:color w:val="auto"/>
          <w:lang w:eastAsia="zh-CN"/>
        </w:rPr>
        <w:t>，</w:t>
      </w:r>
      <w:r>
        <w:rPr>
          <w:rFonts w:hint="eastAsia"/>
          <w:color w:val="auto"/>
        </w:rPr>
        <w:t>确定二氧化碳总量峰值目标，制定实施2030年前碳排放达峰行动计划</w:t>
      </w:r>
      <w:r>
        <w:rPr>
          <w:rFonts w:hint="eastAsia"/>
          <w:color w:val="auto"/>
          <w:lang w:eastAsia="zh-CN"/>
        </w:rPr>
        <w:t>，</w:t>
      </w:r>
      <w:r>
        <w:rPr>
          <w:rFonts w:hint="eastAsia"/>
          <w:color w:val="auto"/>
        </w:rPr>
        <w:t>落实以碳排放强度控制为主、碳排放总量控制为辅的制度</w:t>
      </w:r>
      <w:r>
        <w:rPr>
          <w:rFonts w:hint="eastAsia"/>
          <w:color w:val="auto"/>
          <w:lang w:eastAsia="zh-CN"/>
        </w:rPr>
        <w:t>。</w:t>
      </w:r>
      <w:r>
        <w:rPr>
          <w:rFonts w:hint="eastAsia"/>
          <w:color w:val="auto"/>
        </w:rPr>
        <w:t>有序推进碳达峰。将碳达峰纳入生态文明建设整体布局</w:t>
      </w:r>
      <w:r>
        <w:rPr>
          <w:rFonts w:hint="eastAsia"/>
          <w:color w:val="auto"/>
          <w:lang w:eastAsia="zh-CN"/>
        </w:rPr>
        <w:t>，</w:t>
      </w:r>
      <w:r>
        <w:rPr>
          <w:rFonts w:hint="eastAsia"/>
          <w:color w:val="auto"/>
        </w:rPr>
        <w:t>认真落实省市碳达峰实施方案，构建碳达峰、碳中和</w:t>
      </w:r>
      <w:r>
        <w:rPr>
          <w:rFonts w:hint="eastAsia"/>
          <w:color w:val="auto"/>
          <w:lang w:eastAsia="zh-CN"/>
        </w:rPr>
        <w:t>“</w:t>
      </w:r>
      <w:r>
        <w:rPr>
          <w:rFonts w:hint="eastAsia"/>
          <w:color w:val="auto"/>
        </w:rPr>
        <w:t>1+N</w:t>
      </w:r>
      <w:r>
        <w:rPr>
          <w:rFonts w:hint="eastAsia"/>
          <w:color w:val="auto"/>
          <w:lang w:eastAsia="zh-CN"/>
        </w:rPr>
        <w:t>”</w:t>
      </w:r>
      <w:r>
        <w:rPr>
          <w:rFonts w:hint="eastAsia"/>
          <w:color w:val="auto"/>
        </w:rPr>
        <w:t>政策体系，全面推动能源、交通运输、城乡建设等重点领域结构调整和体制机制创新，深入开展碳达峰行动。创新绿色低碳政策和市场机制，加快形成减污降碳的激励约束机制。完善重点污染物排放总量控制、碳排放达峰目标、生态环境准入清单、重点行业建设项目环境准入条件等制度，抑制高碳投资。鼓励重点领域碳排放尽早达峰。</w:t>
      </w:r>
    </w:p>
    <w:p>
      <w:pPr>
        <w:pStyle w:val="21"/>
        <w:bidi w:val="0"/>
        <w:rPr>
          <w:rFonts w:hint="eastAsia"/>
          <w:color w:val="auto"/>
        </w:rPr>
      </w:pPr>
      <w:r>
        <w:rPr>
          <w:rFonts w:hint="eastAsia" w:ascii="Times New Roman" w:hAnsi="Times New Roman" w:cs="Times New Roman"/>
          <w:b/>
          <w:bCs/>
          <w:color w:val="auto"/>
        </w:rPr>
        <w:t>控制温室气体排放</w:t>
      </w:r>
      <w:r>
        <w:rPr>
          <w:rFonts w:hint="eastAsia" w:ascii="Times New Roman" w:hAnsi="Times New Roman" w:cs="Times New Roman"/>
          <w:b/>
          <w:bCs/>
          <w:color w:val="auto"/>
          <w:lang w:eastAsia="zh-CN"/>
        </w:rPr>
        <w:t>。</w:t>
      </w:r>
      <w:r>
        <w:rPr>
          <w:rFonts w:hint="eastAsia"/>
          <w:color w:val="auto"/>
        </w:rPr>
        <w:t>实施温室气体与环境污染物协同控制</w:t>
      </w:r>
      <w:r>
        <w:rPr>
          <w:rFonts w:hint="eastAsia"/>
          <w:color w:val="auto"/>
          <w:lang w:eastAsia="zh-CN"/>
        </w:rPr>
        <w:t>。</w:t>
      </w:r>
      <w:r>
        <w:rPr>
          <w:rFonts w:hint="eastAsia"/>
          <w:color w:val="auto"/>
        </w:rPr>
        <w:t>推进落实工业、农业温室气体和污染</w:t>
      </w:r>
      <w:r>
        <w:rPr>
          <w:rFonts w:hint="eastAsia"/>
          <w:color w:val="auto"/>
          <w:lang w:val="en-US" w:eastAsia="zh-CN"/>
        </w:rPr>
        <w:t>物</w:t>
      </w:r>
      <w:r>
        <w:rPr>
          <w:rFonts w:hint="eastAsia"/>
          <w:color w:val="auto"/>
        </w:rPr>
        <w:t>减排协同控制方案，减少温室气体和污染物排放。加强污水、垃圾等集中处置设施温室气体排放协同控制。加大甲烷、氢氟碳化物、全氟化碳等其他温室其他控制力度。通过落实行政监管、加强技术创新等方式，以系统观念统筹推进ODS和HFCs的全覆盖、全过程、全产业链监管。坚持打击涉ODS领域违法行为，加大日常执法监管力度，完善联动执法机制，降低源头风险。实施含氢氯氟烃（HCFCs）淘汰和替代。推进交通行业低碳行动。鼓励购买小排量、新能源等环保节能型汽车，发展低排放、低能耗交通工具，推广使用电动汽车，建设充电设施体系。在公交车、出租车、公务车中推广使用节能与新能源汽车。加快畅通工程建设，发展智能交通系统，全面推进城市交通信息化动态管理，推进多种交通方式无缝对接。完善城市交通基础设施路网，建设公交优先的城市交通运输体系。加快推进新能源汽车在分时租赁、城市公交、出租汽车、场地用车等领域的应用，优化公共服务领域新能源汽车使用环境。强化建筑领域低碳发展。推动新建民用建筑全面执行绿色建筑标准，鼓励大型公共建筑、国家机关办公建筑和政府投资的公益性建筑按星级以上绿色建筑标准设计建造。到2025年，城镇新建建筑中绿色建筑面积占比达到100%，新建建筑全部实施65%的节能标准。建立以建筑运行能耗为控制目标的建筑节能管理体系，分类加强公共建筑用能管理。深入推进民用建筑能耗统计工作，指导公共建筑运用统计数据分析，低碳化运营管理。强化宾馆、办公楼、商场等商业和公共建筑低碳化运营管理。积极推进超低能耗、近零能耗建筑的试点示范工作。因地制宜推广余热利用、高效热泵、可再生能源、分布式能源、绿色建材、绿色照明、屋顶墙体绿化等低碳技术。</w:t>
      </w:r>
    </w:p>
    <w:p>
      <w:pPr>
        <w:pStyle w:val="21"/>
        <w:bidi w:val="0"/>
        <w:rPr>
          <w:rFonts w:hint="eastAsia"/>
          <w:color w:val="auto"/>
        </w:rPr>
      </w:pPr>
      <w:r>
        <w:rPr>
          <w:rFonts w:hint="eastAsia" w:cs="Times New Roman"/>
          <w:b/>
          <w:bCs/>
          <w:color w:val="auto"/>
          <w:lang w:val="en-US" w:eastAsia="zh-CN"/>
        </w:rPr>
        <w:t>增强应对气候变化适应能力。</w:t>
      </w:r>
      <w:r>
        <w:rPr>
          <w:rFonts w:hint="eastAsia"/>
          <w:color w:val="auto"/>
        </w:rPr>
        <w:t>以建设韧性城市为目标，提高城乡基础设施适应能力，合理布局公共消防设施、人防设施以及防灾避险场所等设施，构建城市快速应急通道。完善城市防洪排涝设施，建设海绵城市、智慧城市。建立健全多部门联防联动的常态化管理体系，完善应急救灾响应机制，建立极端天气气候事件信息管理系统和预警信息发布平台</w:t>
      </w:r>
      <w:r>
        <w:rPr>
          <w:rFonts w:hint="eastAsia"/>
          <w:color w:val="auto"/>
          <w:lang w:eastAsia="zh-CN"/>
        </w:rPr>
        <w:t>。</w:t>
      </w:r>
      <w:r>
        <w:rPr>
          <w:rFonts w:hint="eastAsia"/>
          <w:color w:val="auto"/>
        </w:rPr>
        <w:t>强化适应气候变化能力的投资和金融支持。</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220" w:name="_Toc7580"/>
      <w:bookmarkStart w:id="221" w:name="_Toc9056"/>
      <w:bookmarkStart w:id="222" w:name="_Toc17749"/>
      <w:bookmarkStart w:id="223" w:name="_Toc4827"/>
      <w:r>
        <w:rPr>
          <w:rFonts w:hint="eastAsia" w:cs="Times New Roman"/>
          <w:color w:val="auto"/>
          <w:lang w:val="en-US" w:eastAsia="zh-CN"/>
        </w:rPr>
        <w:t>8</w:t>
      </w:r>
      <w:r>
        <w:rPr>
          <w:rFonts w:hint="eastAsia" w:ascii="Times New Roman" w:hAnsi="Times New Roman" w:cs="Times New Roman"/>
          <w:color w:val="auto"/>
          <w:lang w:val="en-US" w:eastAsia="zh-CN"/>
        </w:rPr>
        <w:t>.强化生态环境风险管控</w:t>
      </w:r>
      <w:bookmarkEnd w:id="220"/>
      <w:bookmarkEnd w:id="221"/>
      <w:bookmarkEnd w:id="222"/>
      <w:bookmarkEnd w:id="223"/>
    </w:p>
    <w:p>
      <w:pPr>
        <w:pStyle w:val="21"/>
        <w:bidi w:val="0"/>
        <w:rPr>
          <w:rFonts w:hint="eastAsia"/>
          <w:color w:val="auto"/>
        </w:rPr>
      </w:pPr>
      <w:r>
        <w:rPr>
          <w:rFonts w:hint="eastAsia"/>
          <w:b/>
          <w:bCs/>
          <w:color w:val="auto"/>
        </w:rPr>
        <w:t>健全风险预警与防控体系</w:t>
      </w:r>
      <w:r>
        <w:rPr>
          <w:rFonts w:hint="eastAsia"/>
          <w:b/>
          <w:bCs/>
          <w:color w:val="auto"/>
          <w:lang w:eastAsia="zh-CN"/>
        </w:rPr>
        <w:t>。</w:t>
      </w:r>
      <w:r>
        <w:rPr>
          <w:rFonts w:hint="eastAsia"/>
          <w:color w:val="auto"/>
        </w:rPr>
        <w:t>针对赣江饮用</w:t>
      </w:r>
      <w:r>
        <w:rPr>
          <w:rFonts w:hint="eastAsia"/>
          <w:color w:val="auto"/>
          <w:lang w:val="en-US" w:eastAsia="zh-CN"/>
        </w:rPr>
        <w:t>水</w:t>
      </w:r>
      <w:r>
        <w:rPr>
          <w:rFonts w:hint="eastAsia"/>
          <w:color w:val="auto"/>
        </w:rPr>
        <w:t>水源地等环境风险较高的饮用</w:t>
      </w:r>
      <w:r>
        <w:rPr>
          <w:rFonts w:hint="eastAsia"/>
          <w:color w:val="auto"/>
          <w:lang w:val="en-US" w:eastAsia="zh-CN"/>
        </w:rPr>
        <w:t>水</w:t>
      </w:r>
      <w:r>
        <w:rPr>
          <w:rFonts w:hint="eastAsia"/>
          <w:color w:val="auto"/>
        </w:rPr>
        <w:t>水源地，建设水质在线生物监测预警系统。强化环境风险预警防控与应急。开展重点流域、集中式饮用水水源地风险评估，实施分类分级风险管控，协同推进重点区域流域污染联防联控。定期梳理群众反映强烈的突出生态环境问题，建立健全问题清单和预警督办机制。加强网络舆情监测，防止一般投诉演化为重大舆情事件。落实重大决策社会稳定风险评估机制，从严进行可行性专家论证、社会稳定风险评估、环境影响评价。畅通</w:t>
      </w:r>
      <w:r>
        <w:rPr>
          <w:rFonts w:hint="eastAsia"/>
          <w:color w:val="auto"/>
          <w:lang w:eastAsia="zh-CN"/>
        </w:rPr>
        <w:t>“</w:t>
      </w:r>
      <w:r>
        <w:rPr>
          <w:rFonts w:hint="eastAsia"/>
          <w:color w:val="auto"/>
        </w:rPr>
        <w:t>邻避</w:t>
      </w:r>
      <w:r>
        <w:rPr>
          <w:rFonts w:hint="eastAsia"/>
          <w:color w:val="auto"/>
          <w:lang w:eastAsia="zh-CN"/>
        </w:rPr>
        <w:t>”</w:t>
      </w:r>
      <w:r>
        <w:rPr>
          <w:rFonts w:hint="eastAsia"/>
          <w:color w:val="auto"/>
        </w:rPr>
        <w:t>设施建设方与民众信息沟通渠道，加强对</w:t>
      </w:r>
      <w:r>
        <w:rPr>
          <w:rFonts w:hint="eastAsia"/>
          <w:color w:val="auto"/>
          <w:lang w:eastAsia="zh-CN"/>
        </w:rPr>
        <w:t>“</w:t>
      </w:r>
      <w:r>
        <w:rPr>
          <w:rFonts w:hint="eastAsia"/>
          <w:color w:val="auto"/>
        </w:rPr>
        <w:t>邻避</w:t>
      </w:r>
      <w:r>
        <w:rPr>
          <w:rFonts w:hint="eastAsia"/>
          <w:color w:val="auto"/>
          <w:lang w:eastAsia="zh-CN"/>
        </w:rPr>
        <w:t>”</w:t>
      </w:r>
      <w:r>
        <w:rPr>
          <w:rFonts w:hint="eastAsia"/>
          <w:color w:val="auto"/>
        </w:rPr>
        <w:t>项目的舆情监测和正确引导。</w:t>
      </w:r>
    </w:p>
    <w:p>
      <w:pPr>
        <w:pStyle w:val="21"/>
        <w:bidi w:val="0"/>
        <w:rPr>
          <w:rFonts w:hint="eastAsia"/>
          <w:color w:val="auto"/>
        </w:rPr>
      </w:pPr>
      <w:r>
        <w:rPr>
          <w:rFonts w:hint="eastAsia"/>
          <w:b/>
          <w:bCs/>
          <w:color w:val="auto"/>
        </w:rPr>
        <w:t>加强危险化学品与新化学物质风险管控</w:t>
      </w:r>
      <w:r>
        <w:rPr>
          <w:rFonts w:hint="eastAsia"/>
          <w:b/>
          <w:bCs/>
          <w:color w:val="auto"/>
          <w:lang w:eastAsia="zh-CN"/>
        </w:rPr>
        <w:t>。</w:t>
      </w:r>
      <w:r>
        <w:rPr>
          <w:rFonts w:hint="eastAsia"/>
          <w:color w:val="auto"/>
        </w:rPr>
        <w:t>加强新化学物质环境风险管理体系，开展新化学物质风险评估和分级管控，推动化学物质环境公约履约进程。开展化学物质基本</w:t>
      </w:r>
      <w:r>
        <w:rPr>
          <w:rFonts w:hint="eastAsia"/>
          <w:color w:val="auto"/>
          <w:lang w:val="en-US" w:eastAsia="zh-CN"/>
        </w:rPr>
        <w:t>信</w:t>
      </w:r>
      <w:r>
        <w:rPr>
          <w:rFonts w:hint="eastAsia"/>
          <w:color w:val="auto"/>
        </w:rPr>
        <w:t>息调查，加强新化学物质环境管理，严格执行登记管理有关规定，推动落实企业风险防控主体责任。</w:t>
      </w:r>
    </w:p>
    <w:p>
      <w:pPr>
        <w:pStyle w:val="21"/>
        <w:bidi w:val="0"/>
        <w:rPr>
          <w:color w:val="auto"/>
        </w:rPr>
      </w:pPr>
      <w:r>
        <w:rPr>
          <w:rFonts w:hint="eastAsia"/>
          <w:b/>
          <w:bCs/>
          <w:color w:val="auto"/>
        </w:rPr>
        <w:t>强化核与辐射环境安全监管</w:t>
      </w:r>
      <w:r>
        <w:rPr>
          <w:rFonts w:hint="eastAsia"/>
          <w:b/>
          <w:bCs/>
          <w:color w:val="auto"/>
          <w:lang w:eastAsia="zh-CN"/>
        </w:rPr>
        <w:t>。</w:t>
      </w:r>
      <w:r>
        <w:rPr>
          <w:rFonts w:hint="eastAsia"/>
          <w:color w:val="auto"/>
        </w:rPr>
        <w:t>提高辐射安全水平、推进放射性污染防治。完善辐射事故应急体系，积极开展辐射事故应急综合演练，提高辐射事故应急响应和处置能力。强化I类射线装置使用单位辐射安全检查，将不断加大对医疗机构放射诊疗活动的监督管理，强化医用射线装置的管理，加强重点医疗机构和重点环节的监督管理。严格废旧放射源监管要求，加大闲置、废弃放射源的送贮（含返回原生产单位）力度，确保废</w:t>
      </w:r>
      <w:r>
        <w:rPr>
          <w:rFonts w:hint="eastAsia"/>
          <w:color w:val="auto"/>
          <w:lang w:val="en-US" w:eastAsia="zh-CN"/>
        </w:rPr>
        <w:t>旧</w:t>
      </w:r>
      <w:r>
        <w:rPr>
          <w:rFonts w:hint="eastAsia"/>
          <w:color w:val="auto"/>
        </w:rPr>
        <w:t>放射源得到安全妥善处置。</w:t>
      </w:r>
    </w:p>
    <w:p>
      <w:pPr>
        <w:pStyle w:val="21"/>
        <w:bidi w:val="0"/>
        <w:rPr>
          <w:rFonts w:hint="eastAsia"/>
          <w:color w:val="auto"/>
        </w:rPr>
      </w:pPr>
      <w:r>
        <w:rPr>
          <w:rFonts w:hint="eastAsia"/>
          <w:b/>
          <w:bCs/>
          <w:color w:val="auto"/>
        </w:rPr>
        <w:t>加大新型污染物风险防控</w:t>
      </w:r>
      <w:r>
        <w:rPr>
          <w:rFonts w:hint="eastAsia"/>
          <w:b/>
          <w:bCs/>
          <w:color w:val="auto"/>
          <w:lang w:eastAsia="zh-CN"/>
        </w:rPr>
        <w:t>。</w:t>
      </w:r>
      <w:r>
        <w:rPr>
          <w:rFonts w:hint="eastAsia"/>
          <w:color w:val="auto"/>
        </w:rPr>
        <w:t>深化环境与健康监测、调查和风险评估、夯实生态环境与健康管理基础。提升公民生态环境与健康素养。摸清区域风险源、风险物质、人群暴露和健康风险状况。推进环境激素类、抗生素类化学品管理和污染控制。</w:t>
      </w:r>
    </w:p>
    <w:p>
      <w:pPr>
        <w:pStyle w:val="28"/>
        <w:numPr>
          <w:ilvl w:val="1"/>
          <w:numId w:val="0"/>
        </w:numPr>
        <w:bidi w:val="0"/>
        <w:ind w:firstLine="562" w:firstLineChars="200"/>
        <w:rPr>
          <w:rFonts w:hint="eastAsia"/>
          <w:b/>
          <w:bCs/>
          <w:color w:val="auto"/>
          <w:lang w:eastAsia="zh-CN"/>
        </w:rPr>
      </w:pPr>
      <w:bookmarkStart w:id="224" w:name="_Toc2937"/>
      <w:bookmarkStart w:id="225" w:name="_Toc17147"/>
      <w:bookmarkStart w:id="226" w:name="_Toc24716"/>
      <w:bookmarkStart w:id="227" w:name="_Toc8328"/>
      <w:bookmarkStart w:id="228" w:name="_Toc4877"/>
      <w:r>
        <w:rPr>
          <w:rFonts w:hint="eastAsia"/>
          <w:b/>
          <w:bCs/>
          <w:color w:val="auto"/>
          <w:lang w:val="en-US" w:eastAsia="zh-CN"/>
        </w:rPr>
        <w:t>9.</w:t>
      </w:r>
      <w:r>
        <w:rPr>
          <w:rFonts w:hint="eastAsia"/>
          <w:b/>
          <w:bCs/>
          <w:color w:val="auto"/>
        </w:rPr>
        <w:t>加强环境噪声污染防治</w:t>
      </w:r>
      <w:bookmarkEnd w:id="224"/>
    </w:p>
    <w:p>
      <w:pPr>
        <w:pStyle w:val="21"/>
        <w:bidi w:val="0"/>
        <w:rPr>
          <w:rFonts w:hint="eastAsia"/>
          <w:color w:val="auto"/>
        </w:rPr>
      </w:pPr>
      <w:r>
        <w:rPr>
          <w:rFonts w:hint="eastAsia"/>
          <w:color w:val="auto"/>
        </w:rPr>
        <w:t>逐步建成覆盖全市主要区域、道路、建筑施工和居住区等实时响应的声环境质量监测网络。严格执行声环境功能区建设项目准入要求，加强工业噪声污染管控。加大城市噪声防治，严格执行《建筑施工场界噪声限值》，加强施工噪声排放申报管理</w:t>
      </w:r>
      <w:r>
        <w:rPr>
          <w:rFonts w:hint="eastAsia"/>
          <w:color w:val="auto"/>
          <w:lang w:eastAsia="zh-CN"/>
        </w:rPr>
        <w:t>，</w:t>
      </w:r>
      <w:r>
        <w:rPr>
          <w:rFonts w:hint="eastAsia"/>
          <w:color w:val="auto"/>
        </w:rPr>
        <w:t>完善施工噪声监管机制，规范施工作业时间管理要求，加强安全文明施工管理和施工单位信用管理机制，严格落实施工噪声污染执法。高标准配备噪声仪等城市管理</w:t>
      </w:r>
      <w:r>
        <w:rPr>
          <w:rFonts w:hint="eastAsia"/>
          <w:color w:val="auto"/>
          <w:lang w:val="en-US" w:eastAsia="zh-CN"/>
        </w:rPr>
        <w:t>执</w:t>
      </w:r>
      <w:r>
        <w:rPr>
          <w:rFonts w:hint="eastAsia"/>
          <w:color w:val="auto"/>
        </w:rPr>
        <w:t>法装备，创新噪声执法监管手段，推广远程喊停、无人机执法等城市监管方式。</w:t>
      </w:r>
    </w:p>
    <w:p>
      <w:pPr>
        <w:pStyle w:val="20"/>
        <w:numPr>
          <w:ilvl w:val="1"/>
          <w:numId w:val="0"/>
        </w:numPr>
        <w:bidi w:val="0"/>
        <w:ind w:leftChars="0"/>
        <w:rPr>
          <w:rFonts w:hint="default" w:ascii="仿宋" w:hAnsi="仿宋" w:eastAsia="仿宋" w:cs="仿宋"/>
          <w:color w:val="auto"/>
          <w:lang w:val="en-US" w:eastAsia="zh-CN"/>
        </w:rPr>
      </w:pPr>
      <w:bookmarkStart w:id="229" w:name="_Toc17251"/>
      <w:r>
        <w:rPr>
          <w:rFonts w:hint="eastAsia" w:ascii="仿宋" w:hAnsi="仿宋" w:eastAsia="仿宋" w:cs="仿宋"/>
          <w:color w:val="auto"/>
          <w:lang w:val="en-US" w:eastAsia="zh-CN"/>
        </w:rPr>
        <w:t>（三）</w:t>
      </w:r>
      <w:r>
        <w:rPr>
          <w:rFonts w:hint="default" w:ascii="仿宋" w:hAnsi="仿宋" w:eastAsia="仿宋" w:cs="仿宋"/>
          <w:color w:val="auto"/>
          <w:lang w:val="en-US" w:eastAsia="zh-CN"/>
        </w:rPr>
        <w:t>生态空间体系建设</w:t>
      </w:r>
      <w:bookmarkEnd w:id="225"/>
      <w:bookmarkEnd w:id="226"/>
      <w:bookmarkEnd w:id="227"/>
      <w:bookmarkEnd w:id="228"/>
      <w:bookmarkEnd w:id="229"/>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default" w:ascii="Times New Roman" w:hAnsi="Times New Roman" w:cs="Times New Roman"/>
          <w:color w:val="auto"/>
          <w:lang w:val="en-US" w:eastAsia="zh-CN"/>
        </w:rPr>
      </w:pPr>
      <w:bookmarkStart w:id="230" w:name="_Toc29673"/>
      <w:bookmarkStart w:id="231" w:name="_Toc32389"/>
      <w:bookmarkStart w:id="232" w:name="_Toc29333"/>
      <w:bookmarkStart w:id="233" w:name="_Toc6676"/>
      <w:r>
        <w:rPr>
          <w:rFonts w:hint="eastAsia" w:ascii="Times New Roman" w:hAnsi="Times New Roman" w:cs="Times New Roman"/>
          <w:color w:val="auto"/>
          <w:lang w:val="en-US" w:eastAsia="zh-CN"/>
        </w:rPr>
        <w:t>1.落实国土空间用途管制</w:t>
      </w:r>
      <w:bookmarkEnd w:id="230"/>
      <w:bookmarkEnd w:id="231"/>
      <w:bookmarkEnd w:id="232"/>
      <w:bookmarkEnd w:id="233"/>
    </w:p>
    <w:p>
      <w:pPr>
        <w:pStyle w:val="21"/>
        <w:bidi w:val="0"/>
        <w:rPr>
          <w:rFonts w:hint="default"/>
          <w:color w:val="auto"/>
          <w:lang w:val="en-US" w:eastAsia="zh-CN"/>
        </w:rPr>
      </w:pPr>
      <w:r>
        <w:rPr>
          <w:rFonts w:hint="default" w:ascii="Times New Roman" w:hAnsi="Times New Roman" w:cs="Times New Roman"/>
          <w:b/>
          <w:bCs/>
          <w:color w:val="auto"/>
          <w:lang w:val="en-US" w:eastAsia="zh-CN"/>
        </w:rPr>
        <w:t>严格国</w:t>
      </w:r>
      <w:r>
        <w:rPr>
          <w:rFonts w:hint="eastAsia" w:ascii="Times New Roman" w:hAnsi="Times New Roman" w:cs="Times New Roman"/>
          <w:b/>
          <w:bCs/>
          <w:color w:val="auto"/>
          <w:lang w:val="en-US" w:eastAsia="zh-CN"/>
        </w:rPr>
        <w:t>土</w:t>
      </w:r>
      <w:r>
        <w:rPr>
          <w:rFonts w:hint="default" w:ascii="Times New Roman" w:hAnsi="Times New Roman" w:cs="Times New Roman"/>
          <w:b/>
          <w:bCs/>
          <w:color w:val="auto"/>
          <w:lang w:val="en-US" w:eastAsia="zh-CN"/>
        </w:rPr>
        <w:t>空间管控</w:t>
      </w:r>
      <w:r>
        <w:rPr>
          <w:rFonts w:hint="eastAsia" w:ascii="Times New Roman" w:hAnsi="Times New Roman" w:cs="Times New Roman"/>
          <w:b/>
          <w:bCs/>
          <w:color w:val="auto"/>
          <w:lang w:val="en-US" w:eastAsia="zh-CN"/>
        </w:rPr>
        <w:t>。</w:t>
      </w:r>
      <w:r>
        <w:rPr>
          <w:rFonts w:hint="default"/>
          <w:color w:val="auto"/>
          <w:lang w:val="en-US" w:eastAsia="zh-CN"/>
        </w:rPr>
        <w:t>将主体功能区规划、土地利用规划、城乡规划等空间规划融合为统一的国土空间规划</w:t>
      </w:r>
      <w:r>
        <w:rPr>
          <w:rFonts w:hint="eastAsia"/>
          <w:color w:val="auto"/>
          <w:lang w:val="en-US" w:eastAsia="zh-CN"/>
        </w:rPr>
        <w:t>，</w:t>
      </w:r>
      <w:r>
        <w:rPr>
          <w:rFonts w:hint="default"/>
          <w:color w:val="auto"/>
          <w:lang w:val="en-US" w:eastAsia="zh-CN"/>
        </w:rPr>
        <w:t>统筹融合生产、生活、生态三大空间，平衡发展与保护关系</w:t>
      </w:r>
      <w:r>
        <w:rPr>
          <w:rFonts w:hint="eastAsia"/>
          <w:color w:val="auto"/>
          <w:lang w:val="en-US" w:eastAsia="zh-CN"/>
        </w:rPr>
        <w:t>，</w:t>
      </w:r>
      <w:r>
        <w:rPr>
          <w:rFonts w:hint="default"/>
          <w:color w:val="auto"/>
          <w:lang w:val="en-US" w:eastAsia="zh-CN"/>
        </w:rPr>
        <w:t>科学划定并严守生态保护红线、永久基本农田保护红线、城镇开发边界三条控制线。严格按照主体功能定位进行各类开发活动，严禁任意改变土地用途。合理布局城市规模、人口密度、空间结构</w:t>
      </w:r>
      <w:r>
        <w:rPr>
          <w:rFonts w:hint="eastAsia"/>
          <w:color w:val="auto"/>
          <w:lang w:val="en-US" w:eastAsia="zh-CN"/>
        </w:rPr>
        <w:t>，</w:t>
      </w:r>
      <w:r>
        <w:rPr>
          <w:rFonts w:hint="default"/>
          <w:color w:val="auto"/>
          <w:lang w:val="en-US" w:eastAsia="zh-CN"/>
        </w:rPr>
        <w:t>促进中心城区和</w:t>
      </w:r>
      <w:r>
        <w:rPr>
          <w:rFonts w:hint="eastAsia"/>
          <w:color w:val="auto"/>
          <w:lang w:val="en-US" w:eastAsia="zh-CN"/>
        </w:rPr>
        <w:t>流湖镇、厚田乡</w:t>
      </w:r>
      <w:r>
        <w:rPr>
          <w:rFonts w:hint="default"/>
          <w:color w:val="auto"/>
          <w:lang w:val="en-US" w:eastAsia="zh-CN"/>
        </w:rPr>
        <w:t>协调发展。按照城镇开发建设管控导向</w:t>
      </w:r>
      <w:r>
        <w:rPr>
          <w:rFonts w:hint="eastAsia"/>
          <w:color w:val="auto"/>
          <w:lang w:val="en-US" w:eastAsia="zh-CN"/>
        </w:rPr>
        <w:t>，</w:t>
      </w:r>
      <w:r>
        <w:rPr>
          <w:rFonts w:hint="default"/>
          <w:color w:val="auto"/>
          <w:lang w:val="en-US" w:eastAsia="zh-CN"/>
        </w:rPr>
        <w:t>科学划定城镇集中建设区、城镇弹性发展区和特别用途区。严格落实南昌市关于进一步完善赣江两岸滨江区域规划管控的有关要求</w:t>
      </w:r>
      <w:r>
        <w:rPr>
          <w:rFonts w:hint="eastAsia"/>
          <w:color w:val="auto"/>
          <w:lang w:val="en-US" w:eastAsia="zh-CN"/>
        </w:rPr>
        <w:t>，</w:t>
      </w:r>
      <w:r>
        <w:rPr>
          <w:rFonts w:hint="default"/>
          <w:color w:val="auto"/>
          <w:lang w:val="en-US" w:eastAsia="zh-CN"/>
        </w:rPr>
        <w:t>严格分区管理和用途管制</w:t>
      </w:r>
      <w:r>
        <w:rPr>
          <w:rFonts w:hint="eastAsia"/>
          <w:color w:val="auto"/>
          <w:lang w:val="en-US" w:eastAsia="zh-CN"/>
        </w:rPr>
        <w:t>，</w:t>
      </w:r>
      <w:r>
        <w:rPr>
          <w:rFonts w:hint="default"/>
          <w:color w:val="auto"/>
          <w:lang w:val="en-US" w:eastAsia="zh-CN"/>
        </w:rPr>
        <w:t>严控新增区域内经营性项目实施</w:t>
      </w:r>
      <w:r>
        <w:rPr>
          <w:rFonts w:hint="eastAsia"/>
          <w:color w:val="auto"/>
          <w:lang w:val="en-US" w:eastAsia="zh-CN"/>
        </w:rPr>
        <w:t>，</w:t>
      </w:r>
      <w:r>
        <w:rPr>
          <w:rFonts w:hint="default"/>
          <w:color w:val="auto"/>
          <w:lang w:val="en-US" w:eastAsia="zh-CN"/>
        </w:rPr>
        <w:t>避免滨江区域现有开发对城市</w:t>
      </w:r>
      <w:r>
        <w:rPr>
          <w:rFonts w:hint="eastAsia"/>
          <w:color w:val="auto"/>
          <w:lang w:val="en-US" w:eastAsia="zh-CN"/>
        </w:rPr>
        <w:t>“</w:t>
      </w:r>
      <w:r>
        <w:rPr>
          <w:rFonts w:hint="default"/>
          <w:color w:val="auto"/>
          <w:lang w:val="en-US" w:eastAsia="zh-CN"/>
        </w:rPr>
        <w:t>一江两岸</w:t>
      </w:r>
      <w:r>
        <w:rPr>
          <w:rFonts w:hint="eastAsia"/>
          <w:color w:val="auto"/>
          <w:lang w:val="en-US" w:eastAsia="zh-CN"/>
        </w:rPr>
        <w:t>”</w:t>
      </w:r>
      <w:r>
        <w:rPr>
          <w:rFonts w:hint="default"/>
          <w:color w:val="auto"/>
          <w:lang w:val="en-US" w:eastAsia="zh-CN"/>
        </w:rPr>
        <w:t>风貌的负面影响。</w:t>
      </w:r>
    </w:p>
    <w:p>
      <w:pPr>
        <w:pStyle w:val="21"/>
        <w:bidi w:val="0"/>
        <w:rPr>
          <w:rFonts w:hint="default"/>
          <w:color w:val="auto"/>
          <w:lang w:val="en-US" w:eastAsia="zh-CN"/>
        </w:rPr>
      </w:pPr>
      <w:r>
        <w:rPr>
          <w:rFonts w:hint="eastAsia" w:ascii="Times New Roman" w:hAnsi="Times New Roman" w:cs="Times New Roman"/>
          <w:b/>
          <w:bCs/>
          <w:color w:val="auto"/>
          <w:lang w:val="en-US" w:eastAsia="zh-CN"/>
        </w:rPr>
        <w:t>严守生态保护红线。</w:t>
      </w:r>
      <w:r>
        <w:rPr>
          <w:rFonts w:hint="default"/>
          <w:color w:val="auto"/>
          <w:lang w:val="en-US" w:eastAsia="zh-CN"/>
        </w:rPr>
        <w:t>生态保护红线原则上按禁止开发区域的要求进行管理。严禁不符合主体功能定位的各类开发活动，严禁任意改变用途。确立生态保护红线优先地位，相关规划要符合生态保护红线空间管控要求，不符合的要及时进行调整。空间规划编制要将生态保护红线作为重要基础，发挥生态保护红线对于国土空间开发的底线作用。加强生态保护红线内有限人为活动管控</w:t>
      </w:r>
      <w:r>
        <w:rPr>
          <w:rFonts w:hint="eastAsia"/>
          <w:color w:val="auto"/>
          <w:lang w:val="en-US" w:eastAsia="zh-CN"/>
        </w:rPr>
        <w:t>。生态保护红线内有限人为活动涉及新增建设用地的，在用地预审和选址、农用地转用和土地征收两个环节，有序做好有限人为活动认定工作。在建设项目用地预审和选址时，应当附设区市政府出具的“符合生态保护红线内允许有限人为活动的初步认定意见”。在农用地转用、土地征收报批时，应当附省政府出具的“符合生态保护红线内允许有限人为活动的认定意见”。生态保护红线内允许的有限人为活动和国家重大项目所必需的临时用地，要优先避让生态保护红线，尽量少占或不占生态保护红线；如确实无法避让的，要论述其必要性和避让生态保护红线的充分性，且必须能够逐步恢复生态功能，确保生态功能不降低。</w:t>
      </w:r>
    </w:p>
    <w:p>
      <w:pPr>
        <w:pStyle w:val="21"/>
        <w:bidi w:val="0"/>
        <w:rPr>
          <w:rFonts w:hint="eastAsia"/>
          <w:color w:val="auto"/>
          <w:lang w:eastAsia="zh-CN"/>
        </w:rPr>
      </w:pPr>
      <w:r>
        <w:rPr>
          <w:rFonts w:hint="eastAsia" w:ascii="Times New Roman" w:hAnsi="Times New Roman" w:cs="Times New Roman"/>
          <w:b/>
          <w:bCs/>
          <w:color w:val="auto"/>
          <w:lang w:val="en-US" w:eastAsia="zh-CN"/>
        </w:rPr>
        <w:t>严守耕地保护红线。</w:t>
      </w:r>
      <w:r>
        <w:rPr>
          <w:rFonts w:hint="default"/>
          <w:color w:val="auto"/>
          <w:lang w:val="en-US" w:eastAsia="zh-CN"/>
        </w:rPr>
        <w:t>坚守耕地红线，落实最严格的耕地保护制度，将布局集中、用途稳定、具有良好水利设施的高产、稳产、优质耕地划定为永久基本农田保护红线。</w:t>
      </w:r>
      <w:r>
        <w:rPr>
          <w:rFonts w:hint="eastAsia"/>
          <w:color w:val="auto"/>
          <w:lang w:eastAsia="zh-CN"/>
        </w:rPr>
        <w:t>强化国土空间用途管制，严格落实耕地和永久基本农田保护，优化永久基本农田布局。全面落实耕地保护责任制，粮食安全责任制，实行网格化巡查等机制，</w:t>
      </w:r>
      <w:r>
        <w:rPr>
          <w:rFonts w:hint="default"/>
          <w:color w:val="auto"/>
          <w:lang w:val="en-US" w:eastAsia="zh-CN"/>
        </w:rPr>
        <w:t>加强耕地保护督查和执法监督，</w:t>
      </w:r>
      <w:r>
        <w:rPr>
          <w:rFonts w:hint="eastAsia"/>
          <w:color w:val="auto"/>
          <w:lang w:eastAsia="zh-CN"/>
        </w:rPr>
        <w:t>坚决遏制耕地“非农化”和“非粮化”。</w:t>
      </w:r>
      <w:r>
        <w:rPr>
          <w:rFonts w:hint="default"/>
          <w:color w:val="auto"/>
          <w:lang w:val="en-US" w:eastAsia="zh-CN"/>
        </w:rPr>
        <w:t>健全耕地抛荒整治长效机制，深入推进农村乱占耕地建房专项整治行动。</w:t>
      </w:r>
      <w:r>
        <w:rPr>
          <w:rFonts w:hint="eastAsia"/>
          <w:color w:val="auto"/>
          <w:lang w:eastAsia="zh-CN"/>
        </w:rPr>
        <w:t>实行耕地用途管制，强化耕地全流程监管，坚守耕地保护红线。</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default" w:ascii="Times New Roman" w:hAnsi="Times New Roman" w:cs="Times New Roman"/>
          <w:color w:val="auto"/>
          <w:lang w:val="en-US" w:eastAsia="zh-CN"/>
        </w:rPr>
      </w:pPr>
      <w:bookmarkStart w:id="234" w:name="_Toc21706"/>
      <w:bookmarkStart w:id="235" w:name="_Toc3551"/>
      <w:bookmarkStart w:id="236" w:name="_Toc15391"/>
      <w:bookmarkStart w:id="237" w:name="_Toc2512"/>
      <w:r>
        <w:rPr>
          <w:rFonts w:hint="eastAsia" w:ascii="Times New Roman" w:hAnsi="Times New Roman" w:cs="Times New Roman"/>
          <w:color w:val="auto"/>
          <w:lang w:val="en-US" w:eastAsia="zh-CN"/>
        </w:rPr>
        <w:t>2.优化生态安全格局</w:t>
      </w:r>
      <w:bookmarkEnd w:id="234"/>
      <w:bookmarkEnd w:id="235"/>
      <w:bookmarkEnd w:id="236"/>
      <w:bookmarkEnd w:id="237"/>
    </w:p>
    <w:p>
      <w:pPr>
        <w:pStyle w:val="21"/>
        <w:bidi w:val="0"/>
        <w:rPr>
          <w:color w:val="auto"/>
        </w:rPr>
      </w:pPr>
      <w:r>
        <w:rPr>
          <w:rFonts w:hint="eastAsia" w:ascii="Times New Roman" w:hAnsi="Times New Roman" w:cs="Times New Roman"/>
          <w:b/>
          <w:bCs/>
          <w:color w:val="auto"/>
          <w:lang w:val="en-US" w:eastAsia="zh-CN"/>
        </w:rPr>
        <w:t>实行环境管控单元</w:t>
      </w:r>
      <w:r>
        <w:rPr>
          <w:rFonts w:hint="eastAsia" w:cs="Times New Roman"/>
          <w:b/>
          <w:bCs/>
          <w:color w:val="auto"/>
          <w:lang w:val="en-US" w:eastAsia="zh-CN"/>
        </w:rPr>
        <w:t>分区</w:t>
      </w:r>
      <w:r>
        <w:rPr>
          <w:rFonts w:hint="eastAsia" w:ascii="Times New Roman" w:hAnsi="Times New Roman" w:cs="Times New Roman"/>
          <w:b/>
          <w:bCs/>
          <w:color w:val="auto"/>
          <w:lang w:val="en-US" w:eastAsia="zh-CN"/>
        </w:rPr>
        <w:t>管理。</w:t>
      </w:r>
      <w:r>
        <w:rPr>
          <w:rFonts w:hint="eastAsia"/>
          <w:color w:val="auto"/>
          <w:lang w:eastAsia="zh-CN"/>
        </w:rPr>
        <w:t>逐步构建以“三线一单”生态环境分区管控为环境空间管控基础，重点推进“三线一单”编制成果的落地和应用，配合做好“三线一单”生态环境分区管控方案的动态更新调整工作。根据</w:t>
      </w:r>
      <w:r>
        <w:rPr>
          <w:rFonts w:hint="eastAsia"/>
          <w:color w:val="auto"/>
          <w:lang w:val="en-US" w:eastAsia="zh-CN"/>
        </w:rPr>
        <w:t>红谷滩</w:t>
      </w:r>
      <w:r>
        <w:rPr>
          <w:rFonts w:hint="eastAsia"/>
          <w:color w:val="auto"/>
          <w:lang w:eastAsia="zh-CN"/>
        </w:rPr>
        <w:t>区生态环境功能、自然资源禀赋和经济社会发展实际，聚焦区域生态环境重点问题和主要保护目标，针对不同环境管控单元特征，按照“优先保护单元、重点管控单元和一般管控单元”实施差别化生态环境准入要求和管控措施，强化底线约束。进一步加强与国土空间规划、</w:t>
      </w:r>
      <w:r>
        <w:rPr>
          <w:rFonts w:hint="eastAsia"/>
          <w:color w:val="auto"/>
          <w:lang w:val="en-US" w:eastAsia="zh-CN"/>
        </w:rPr>
        <w:t>红谷滩</w:t>
      </w:r>
      <w:r>
        <w:rPr>
          <w:rFonts w:hint="eastAsia"/>
          <w:color w:val="auto"/>
          <w:lang w:eastAsia="zh-CN"/>
        </w:rPr>
        <w:t>区产业布局及城镇建设规划的衔接，统筹协调城镇、农业、生态空间与生态保护红线、永久基本农田和城镇开发边界“三区三线”布局，加快基于“三线一单”的生态环境分区管控体系的建立。强化创新驱动和绿色引领，以环境管控单元为基础，从区域布局管控、能源资源利用、污染物排放管控、环境风险防控等方面提出准入要求，建立并完善“三线一单”生态环境分区管控体系，实行区域空间生态环境评价分类管理制度，强化空间开发环境管控。</w:t>
      </w:r>
    </w:p>
    <w:p>
      <w:pPr>
        <w:pStyle w:val="21"/>
        <w:bidi w:val="0"/>
        <w:rPr>
          <w:rFonts w:hint="default"/>
          <w:color w:val="auto"/>
          <w:lang w:val="en-US" w:eastAsia="zh-CN"/>
        </w:rPr>
      </w:pPr>
      <w:r>
        <w:rPr>
          <w:rFonts w:hint="default" w:ascii="Times New Roman" w:hAnsi="Times New Roman" w:cs="Times New Roman"/>
          <w:b/>
          <w:bCs/>
          <w:color w:val="auto"/>
          <w:lang w:val="en-US" w:eastAsia="zh-CN"/>
        </w:rPr>
        <w:t>强化涉水生态空间分类管控</w:t>
      </w:r>
      <w:r>
        <w:rPr>
          <w:rFonts w:hint="eastAsia" w:ascii="Times New Roman" w:hAnsi="Times New Roman" w:cs="Times New Roman"/>
          <w:b/>
          <w:bCs/>
          <w:color w:val="auto"/>
          <w:lang w:val="en-US" w:eastAsia="zh-CN"/>
        </w:rPr>
        <w:t>。</w:t>
      </w:r>
      <w:r>
        <w:rPr>
          <w:rFonts w:hint="default"/>
          <w:color w:val="auto"/>
          <w:lang w:val="en-US" w:eastAsia="zh-CN"/>
        </w:rPr>
        <w:t>严格城市河道蓝线管理，严格水域岸线用途管制，保持水域面积不减少。积极保护河湖休养生息空间，科学整合各类保护区域，构建生态安全格局。针对区域内重要生态功能区、生态敏感区等，进一步划定生态功能红线、环境质量红线和资源利用红线。</w:t>
      </w:r>
    </w:p>
    <w:p>
      <w:pPr>
        <w:pStyle w:val="21"/>
        <w:bidi w:val="0"/>
        <w:rPr>
          <w:rFonts w:hint="default"/>
          <w:color w:val="auto"/>
          <w:lang w:val="en-US" w:eastAsia="zh-CN"/>
        </w:rPr>
      </w:pPr>
      <w:r>
        <w:rPr>
          <w:rFonts w:hint="default" w:ascii="Times New Roman" w:hAnsi="Times New Roman" w:cs="Times New Roman"/>
          <w:b/>
          <w:bCs/>
          <w:color w:val="auto"/>
          <w:lang w:val="en-US" w:eastAsia="zh-CN"/>
        </w:rPr>
        <w:t>强化生态</w:t>
      </w:r>
      <w:r>
        <w:rPr>
          <w:rFonts w:hint="eastAsia" w:cs="Times New Roman"/>
          <w:b/>
          <w:bCs/>
          <w:color w:val="auto"/>
          <w:lang w:val="en-US" w:eastAsia="zh-CN"/>
        </w:rPr>
        <w:t>赣江</w:t>
      </w:r>
      <w:r>
        <w:rPr>
          <w:rFonts w:hint="default" w:ascii="Times New Roman" w:hAnsi="Times New Roman" w:cs="Times New Roman"/>
          <w:b/>
          <w:bCs/>
          <w:color w:val="auto"/>
          <w:lang w:val="en-US" w:eastAsia="zh-CN"/>
        </w:rPr>
        <w:t>流域建设</w:t>
      </w:r>
      <w:r>
        <w:rPr>
          <w:rFonts w:hint="eastAsia" w:ascii="Times New Roman" w:hAnsi="Times New Roman" w:cs="Times New Roman"/>
          <w:b/>
          <w:bCs/>
          <w:color w:val="auto"/>
          <w:lang w:val="en-US" w:eastAsia="zh-CN"/>
        </w:rPr>
        <w:t>。</w:t>
      </w:r>
      <w:r>
        <w:rPr>
          <w:rFonts w:hint="default"/>
          <w:color w:val="auto"/>
          <w:lang w:val="en-US" w:eastAsia="zh-CN"/>
        </w:rPr>
        <w:t>以国土空间规划为引领，全面开展陆域防控清理、岸线美化优化、生态修复等生态建设行动。保护河流流域的重要</w:t>
      </w:r>
      <w:r>
        <w:rPr>
          <w:rFonts w:hint="eastAsia"/>
          <w:color w:val="auto"/>
          <w:lang w:val="en-US" w:eastAsia="zh-CN"/>
        </w:rPr>
        <w:t>生态环境</w:t>
      </w:r>
      <w:r>
        <w:rPr>
          <w:rFonts w:hint="default"/>
          <w:color w:val="auto"/>
          <w:lang w:val="en-US" w:eastAsia="zh-CN"/>
        </w:rPr>
        <w:t>，恢复河滩地自然生态系统。开展河湖水生生物资源养护。推进水环境综合治理工作，建立流域水污染综合防治体系，打造水清岸美、安全畅通、人水和谐的水环境。强化考核断面、饮用水水源的水质管理，构建生态、韧性、安全的河湖体系。</w:t>
      </w:r>
    </w:p>
    <w:p>
      <w:pPr>
        <w:pStyle w:val="21"/>
        <w:bidi w:val="0"/>
        <w:rPr>
          <w:rFonts w:hint="default"/>
          <w:color w:val="auto"/>
          <w:lang w:val="en-US" w:eastAsia="zh-CN"/>
        </w:rPr>
      </w:pPr>
      <w:r>
        <w:rPr>
          <w:rFonts w:hint="default" w:ascii="Times New Roman" w:hAnsi="Times New Roman" w:cs="Times New Roman"/>
          <w:b/>
          <w:bCs/>
          <w:color w:val="auto"/>
          <w:lang w:val="en-US" w:eastAsia="zh-CN"/>
        </w:rPr>
        <w:t>扩大绿地辐射能力</w:t>
      </w:r>
      <w:r>
        <w:rPr>
          <w:rFonts w:hint="eastAsia" w:ascii="Times New Roman" w:hAnsi="Times New Roman" w:cs="Times New Roman"/>
          <w:b/>
          <w:bCs/>
          <w:color w:val="auto"/>
          <w:lang w:val="en-US" w:eastAsia="zh-CN"/>
        </w:rPr>
        <w:t>。</w:t>
      </w:r>
      <w:r>
        <w:rPr>
          <w:rFonts w:hint="default"/>
          <w:color w:val="auto"/>
          <w:lang w:val="en-US" w:eastAsia="zh-CN"/>
        </w:rPr>
        <w:t>以自然要素为依托和构成基础，以历史人文为脉络，引导绿道建设，补充中小型公园绿地，加强绿道与生态绿化廊道、滨河生态廊道、等联动建设，完善城区绿色生态空间网络和休闲游憩网，串联游憩、休闲等绿色开敞空间，进一步加强游憩空间的可达性；构建与公共交通的无缝接驳体系，实现绿道与周边城市道路、公交及慢行网络的有效衔接，方便居民的日常出行，扩大绿道的辐射能力。</w:t>
      </w:r>
    </w:p>
    <w:p>
      <w:pPr>
        <w:pStyle w:val="21"/>
        <w:bidi w:val="0"/>
        <w:rPr>
          <w:rFonts w:hint="default"/>
          <w:color w:val="auto"/>
          <w:lang w:val="en-US" w:eastAsia="zh-CN"/>
        </w:rPr>
      </w:pPr>
      <w:r>
        <w:rPr>
          <w:rFonts w:hint="default" w:ascii="Times New Roman" w:hAnsi="Times New Roman" w:cs="Times New Roman"/>
          <w:b/>
          <w:bCs/>
          <w:color w:val="auto"/>
          <w:lang w:val="en-US" w:eastAsia="zh-CN"/>
        </w:rPr>
        <w:t>建设高品质绿地体系</w:t>
      </w:r>
      <w:r>
        <w:rPr>
          <w:rFonts w:hint="eastAsia" w:ascii="Times New Roman" w:hAnsi="Times New Roman" w:cs="Times New Roman"/>
          <w:b/>
          <w:bCs/>
          <w:color w:val="auto"/>
          <w:lang w:val="en-US" w:eastAsia="zh-CN"/>
        </w:rPr>
        <w:t>。</w:t>
      </w:r>
      <w:r>
        <w:rPr>
          <w:rFonts w:hint="default"/>
          <w:color w:val="auto"/>
          <w:lang w:val="en-US" w:eastAsia="zh-CN"/>
        </w:rPr>
        <w:t>将生态廊道和城市空间有机融合</w:t>
      </w:r>
      <w:r>
        <w:rPr>
          <w:rFonts w:hint="eastAsia"/>
          <w:color w:val="auto"/>
          <w:lang w:val="en-US" w:eastAsia="zh-CN"/>
        </w:rPr>
        <w:t>，</w:t>
      </w:r>
      <w:r>
        <w:rPr>
          <w:rFonts w:hint="default"/>
          <w:color w:val="auto"/>
          <w:lang w:val="en-US" w:eastAsia="zh-CN"/>
        </w:rPr>
        <w:t>以临川街、萍乡大街沿线区域为重点</w:t>
      </w:r>
      <w:r>
        <w:rPr>
          <w:rFonts w:hint="eastAsia"/>
          <w:color w:val="auto"/>
          <w:lang w:val="en-US" w:eastAsia="zh-CN"/>
        </w:rPr>
        <w:t>，</w:t>
      </w:r>
      <w:r>
        <w:rPr>
          <w:rFonts w:hint="default"/>
          <w:color w:val="auto"/>
          <w:lang w:val="en-US" w:eastAsia="zh-CN"/>
        </w:rPr>
        <w:t>高标准建设生态廊道</w:t>
      </w:r>
      <w:r>
        <w:rPr>
          <w:rFonts w:hint="eastAsia"/>
          <w:color w:val="auto"/>
          <w:lang w:val="en-US" w:eastAsia="zh-CN"/>
        </w:rPr>
        <w:t>，</w:t>
      </w:r>
      <w:r>
        <w:rPr>
          <w:rFonts w:hint="default"/>
          <w:color w:val="auto"/>
          <w:lang w:val="en-US" w:eastAsia="zh-CN"/>
        </w:rPr>
        <w:t>并串联城市公园及社区绿地</w:t>
      </w:r>
      <w:r>
        <w:rPr>
          <w:rFonts w:hint="eastAsia"/>
          <w:color w:val="auto"/>
          <w:lang w:val="en-US" w:eastAsia="zh-CN"/>
        </w:rPr>
        <w:t>，</w:t>
      </w:r>
      <w:r>
        <w:rPr>
          <w:rFonts w:hint="default"/>
          <w:color w:val="auto"/>
          <w:lang w:val="en-US" w:eastAsia="zh-CN"/>
        </w:rPr>
        <w:t>完善绿地生态网络。有序推进碧道</w:t>
      </w:r>
      <w:r>
        <w:rPr>
          <w:rFonts w:hint="eastAsia"/>
          <w:color w:val="auto"/>
          <w:lang w:val="en-US" w:eastAsia="zh-CN"/>
        </w:rPr>
        <w:t>“</w:t>
      </w:r>
      <w:r>
        <w:rPr>
          <w:rFonts w:hint="default"/>
          <w:color w:val="auto"/>
          <w:lang w:val="en-US" w:eastAsia="zh-CN"/>
        </w:rPr>
        <w:t>安全行洪通道、自然生态廊道、文化休闲漫道</w:t>
      </w:r>
      <w:r>
        <w:rPr>
          <w:rFonts w:hint="eastAsia"/>
          <w:color w:val="auto"/>
          <w:lang w:val="en-US" w:eastAsia="zh-CN"/>
        </w:rPr>
        <w:t>”</w:t>
      </w:r>
      <w:r>
        <w:rPr>
          <w:rFonts w:hint="default"/>
          <w:color w:val="auto"/>
          <w:lang w:val="en-US" w:eastAsia="zh-CN"/>
        </w:rPr>
        <w:t>的高质量建设，将水岸地带打造成为富有吸引力的高品质场所。结合自然资源要素分布，加强生态廊道的综合整治和建设工作，开展生态修复、生态建设等工作，构筑点线面为一体的高质量绿色生态空间网络。推进绿化</w:t>
      </w:r>
      <w:r>
        <w:rPr>
          <w:rFonts w:hint="eastAsia"/>
          <w:color w:val="auto"/>
          <w:lang w:val="en-US" w:eastAsia="zh-CN"/>
        </w:rPr>
        <w:t>“</w:t>
      </w:r>
      <w:r>
        <w:rPr>
          <w:rFonts w:hint="default"/>
          <w:color w:val="auto"/>
          <w:lang w:val="en-US" w:eastAsia="zh-CN"/>
        </w:rPr>
        <w:t>进楼宇、进社区、进校区、进园区</w:t>
      </w:r>
      <w:r>
        <w:rPr>
          <w:rFonts w:hint="eastAsia"/>
          <w:color w:val="auto"/>
          <w:lang w:val="en-US" w:eastAsia="zh-CN"/>
        </w:rPr>
        <w:t>”</w:t>
      </w:r>
      <w:r>
        <w:rPr>
          <w:rFonts w:hint="default"/>
          <w:color w:val="auto"/>
          <w:lang w:val="en-US" w:eastAsia="zh-CN"/>
        </w:rPr>
        <w:t>。立足全区居民发展需求，大力推进口袋公园在每个镇（街）的布点建设，完善城市公园、综合公园、社区公园等公园体系建设，创新设施配置类型与模式，推进公园与自然教育、体育、文化、旅游、商业、服务等设施融合发展，打造城市公园精品工程。</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default" w:ascii="Times New Roman" w:hAnsi="Times New Roman" w:cs="Times New Roman"/>
          <w:color w:val="auto"/>
          <w:lang w:val="en-US" w:eastAsia="zh-CN"/>
        </w:rPr>
      </w:pPr>
      <w:bookmarkStart w:id="238" w:name="_Toc18235"/>
      <w:bookmarkStart w:id="239" w:name="_Toc30799"/>
      <w:bookmarkStart w:id="240" w:name="_Toc1741"/>
      <w:bookmarkStart w:id="241" w:name="_Toc17229"/>
      <w:r>
        <w:rPr>
          <w:rFonts w:hint="eastAsia" w:ascii="Times New Roman" w:hAnsi="Times New Roman" w:cs="Times New Roman"/>
          <w:color w:val="auto"/>
          <w:lang w:val="en-US" w:eastAsia="zh-CN"/>
        </w:rPr>
        <w:t>3.优化城镇空间布局</w:t>
      </w:r>
      <w:bookmarkEnd w:id="238"/>
      <w:bookmarkEnd w:id="239"/>
      <w:bookmarkEnd w:id="240"/>
      <w:bookmarkEnd w:id="241"/>
    </w:p>
    <w:p>
      <w:pPr>
        <w:pStyle w:val="21"/>
        <w:bidi w:val="0"/>
        <w:rPr>
          <w:color w:val="auto"/>
        </w:rPr>
      </w:pPr>
      <w:r>
        <w:rPr>
          <w:rFonts w:hint="eastAsia" w:cs="Times New Roman"/>
          <w:b/>
          <w:bCs/>
          <w:color w:val="auto"/>
          <w:lang w:val="en-US" w:eastAsia="zh-CN"/>
        </w:rPr>
        <w:t>合理规划</w:t>
      </w:r>
      <w:r>
        <w:rPr>
          <w:rFonts w:hint="eastAsia" w:ascii="Times New Roman" w:hAnsi="Times New Roman" w:cs="Times New Roman"/>
          <w:b/>
          <w:bCs/>
          <w:color w:val="auto"/>
          <w:lang w:val="en-US" w:eastAsia="zh-CN"/>
        </w:rPr>
        <w:t>城镇开发边界。</w:t>
      </w:r>
      <w:r>
        <w:rPr>
          <w:rFonts w:hint="eastAsia"/>
          <w:color w:val="auto"/>
          <w:lang w:eastAsia="zh-CN"/>
        </w:rPr>
        <w:t>合理划定城镇开发边界，引导城镇空间集约发展，构建新型城镇化空间布局。结合空间布局结构确定城市中心、城市发展轴及特色化发展片区等，完善公共管理与公共服务设施网络。完善重点功能区格局，强化国土空间规划和用途管控，探索空间资源统筹利用新机制，引导城镇紧凑集约发展。严格实行建设用地总量与强度双控，强化城镇开发边界对开发建设行为的刚性约束作用，科学预留功能留白区，为未来发展留有开发空间。科学研判城镇发展需求，优化城镇形态和布局，促进城镇有序、适度、紧凑发展。</w:t>
      </w:r>
      <w:r>
        <w:rPr>
          <w:rFonts w:hint="eastAsia"/>
          <w:color w:val="auto"/>
          <w:lang w:val="en-US" w:eastAsia="zh-CN"/>
        </w:rPr>
        <w:t>在国土空间规划确定的城镇开发边界内的集中建设区，组织编制土地征收“成片开发”方案，纳入国民经济和社会发展年度计划。严格执行土地用途管制和规划建设制度，积极采取多种途径盘活存量土地，鼓励土地立体开发和复合利用。</w:t>
      </w:r>
      <w:r>
        <w:rPr>
          <w:color w:val="auto"/>
          <w:lang w:val="en-US" w:eastAsia="zh-CN"/>
        </w:rPr>
        <w:t>统筹考虑资源环境承载能力和发展基础，构建</w:t>
      </w:r>
      <w:r>
        <w:rPr>
          <w:rFonts w:hint="eastAsia"/>
          <w:color w:val="auto"/>
          <w:lang w:val="en-US" w:eastAsia="zh-CN"/>
        </w:rPr>
        <w:t>“两轴一带、两核三区”的城镇空间布局，增强城市承载力，加快城乡一体化发展步伐。</w:t>
      </w:r>
    </w:p>
    <w:p>
      <w:pPr>
        <w:pStyle w:val="21"/>
        <w:bidi w:val="0"/>
        <w:rPr>
          <w:rFonts w:hint="default"/>
          <w:color w:val="auto"/>
          <w:lang w:val="en-US" w:eastAsia="zh-CN"/>
        </w:rPr>
      </w:pPr>
      <w:r>
        <w:rPr>
          <w:rFonts w:hint="default" w:cs="Times New Roman"/>
          <w:b/>
          <w:bCs/>
          <w:color w:val="auto"/>
          <w:lang w:val="en-US" w:eastAsia="zh-CN"/>
        </w:rPr>
        <w:t>构筑国际高质量发展城镇新型空间</w:t>
      </w:r>
      <w:r>
        <w:rPr>
          <w:rFonts w:hint="eastAsia" w:cs="Times New Roman"/>
          <w:b/>
          <w:bCs/>
          <w:color w:val="auto"/>
          <w:lang w:val="en-US" w:eastAsia="zh-CN"/>
        </w:rPr>
        <w:t>。</w:t>
      </w:r>
      <w:r>
        <w:rPr>
          <w:rFonts w:hint="default"/>
          <w:color w:val="auto"/>
          <w:lang w:val="en-US" w:eastAsia="zh-CN"/>
        </w:rPr>
        <w:t>把握国际大都市中心城区的发展规律，坚持把全周期管理理念贯穿全区规划、建设、管理全过程，高标准构建国土空间开发保护新格局，高水平优化区域协调发展功能定位，高起点推进城市有机更新，高品质提升</w:t>
      </w:r>
      <w:r>
        <w:rPr>
          <w:rFonts w:hint="eastAsia"/>
          <w:color w:val="auto"/>
          <w:lang w:val="en-US" w:eastAsia="zh-CN"/>
        </w:rPr>
        <w:t>红谷滩</w:t>
      </w:r>
      <w:r>
        <w:rPr>
          <w:rFonts w:hint="default"/>
          <w:color w:val="auto"/>
          <w:lang w:val="en-US" w:eastAsia="zh-CN"/>
        </w:rPr>
        <w:t>精细化管理水平，构筑高质量发展新型空间。推动实现南北片区均衡一体化发展，全面推进数字化、绿色化、国际化转型，全面提升区域竞争力。对标国内外先进标准，加强全区公共开放空间规划设计与管理。将生态环境建设作为提升</w:t>
      </w:r>
      <w:r>
        <w:rPr>
          <w:rFonts w:hint="eastAsia"/>
          <w:color w:val="auto"/>
          <w:lang w:val="en-US" w:eastAsia="zh-CN"/>
        </w:rPr>
        <w:t>红谷滩</w:t>
      </w:r>
      <w:r>
        <w:rPr>
          <w:rFonts w:hint="default"/>
          <w:color w:val="auto"/>
          <w:lang w:val="en-US" w:eastAsia="zh-CN"/>
        </w:rPr>
        <w:t>竞争力的重要抓手，与土地综合整治、区域开发建设、生态旅游等政策深度融合。</w:t>
      </w:r>
    </w:p>
    <w:p>
      <w:pPr>
        <w:pStyle w:val="21"/>
        <w:bidi w:val="0"/>
        <w:rPr>
          <w:rFonts w:hint="default"/>
          <w:color w:val="auto"/>
          <w:lang w:val="en-US" w:eastAsia="zh-CN"/>
        </w:rPr>
      </w:pPr>
      <w:r>
        <w:rPr>
          <w:rFonts w:hint="default" w:cs="Times New Roman"/>
          <w:b/>
          <w:bCs/>
          <w:color w:val="auto"/>
          <w:lang w:val="en-US" w:eastAsia="zh-CN"/>
        </w:rPr>
        <w:t>持续提升交通枢纽服务能级，推进基础设施互联互通</w:t>
      </w:r>
      <w:r>
        <w:rPr>
          <w:rFonts w:hint="eastAsia" w:cs="Times New Roman"/>
          <w:b/>
          <w:bCs/>
          <w:color w:val="auto"/>
          <w:lang w:val="en-US" w:eastAsia="zh-CN"/>
        </w:rPr>
        <w:t>。</w:t>
      </w:r>
      <w:r>
        <w:rPr>
          <w:rFonts w:hint="default"/>
          <w:color w:val="auto"/>
          <w:lang w:val="en-US" w:eastAsia="zh-CN"/>
        </w:rPr>
        <w:t>构建现代化综合立体交通网络。强化南昌西站的高铁枢纽地位。在沪昆高铁、京九高铁、向莆铁路的基础上</w:t>
      </w:r>
      <w:r>
        <w:rPr>
          <w:rFonts w:hint="eastAsia"/>
          <w:color w:val="auto"/>
          <w:lang w:val="en-US" w:eastAsia="zh-CN"/>
        </w:rPr>
        <w:t>，</w:t>
      </w:r>
      <w:r>
        <w:rPr>
          <w:rFonts w:hint="default"/>
          <w:color w:val="auto"/>
          <w:lang w:val="en-US" w:eastAsia="zh-CN"/>
        </w:rPr>
        <w:t>将南昌-抚州、南昌-修水城际铁路经九龙湖引入高铁西站</w:t>
      </w:r>
      <w:r>
        <w:rPr>
          <w:rFonts w:hint="eastAsia"/>
          <w:color w:val="auto"/>
          <w:lang w:val="en-US" w:eastAsia="zh-CN"/>
        </w:rPr>
        <w:t>，</w:t>
      </w:r>
      <w:r>
        <w:rPr>
          <w:rFonts w:hint="default"/>
          <w:color w:val="auto"/>
          <w:lang w:val="en-US" w:eastAsia="zh-CN"/>
        </w:rPr>
        <w:t>推动形成以南昌为中心的城际铁路网。打造层级多样</w:t>
      </w:r>
      <w:r>
        <w:rPr>
          <w:rFonts w:hint="eastAsia"/>
          <w:color w:val="auto"/>
          <w:lang w:val="en-US" w:eastAsia="zh-CN"/>
        </w:rPr>
        <w:t>的</w:t>
      </w:r>
      <w:r>
        <w:rPr>
          <w:rFonts w:hint="default"/>
          <w:color w:val="auto"/>
          <w:lang w:val="en-US" w:eastAsia="zh-CN"/>
        </w:rPr>
        <w:t>客运枢纽。加快推进轨道交通机场线建设</w:t>
      </w:r>
      <w:r>
        <w:rPr>
          <w:rFonts w:hint="eastAsia"/>
          <w:color w:val="auto"/>
          <w:lang w:val="en-US" w:eastAsia="zh-CN"/>
        </w:rPr>
        <w:t>，</w:t>
      </w:r>
      <w:r>
        <w:rPr>
          <w:rFonts w:hint="default"/>
          <w:color w:val="auto"/>
          <w:lang w:val="en-US" w:eastAsia="zh-CN"/>
        </w:rPr>
        <w:t>在崛起广场与轨道1、2号线形成换乘枢纽</w:t>
      </w:r>
      <w:r>
        <w:rPr>
          <w:rFonts w:hint="eastAsia"/>
          <w:color w:val="auto"/>
          <w:lang w:val="en-US" w:eastAsia="zh-CN"/>
        </w:rPr>
        <w:t>，</w:t>
      </w:r>
      <w:r>
        <w:rPr>
          <w:rFonts w:hint="default"/>
          <w:color w:val="auto"/>
          <w:lang w:val="en-US" w:eastAsia="zh-CN"/>
        </w:rPr>
        <w:t>实现与昌北机场、南昌西站的快速连接</w:t>
      </w:r>
      <w:r>
        <w:rPr>
          <w:rFonts w:hint="eastAsia"/>
          <w:color w:val="auto"/>
          <w:lang w:val="en-US" w:eastAsia="zh-CN"/>
        </w:rPr>
        <w:t>；</w:t>
      </w:r>
      <w:r>
        <w:rPr>
          <w:rFonts w:hint="default"/>
          <w:color w:val="auto"/>
          <w:lang w:val="en-US" w:eastAsia="zh-CN"/>
        </w:rPr>
        <w:t>以崛起广场为主体</w:t>
      </w:r>
      <w:r>
        <w:rPr>
          <w:rFonts w:hint="eastAsia"/>
          <w:color w:val="auto"/>
          <w:lang w:val="en-US" w:eastAsia="zh-CN"/>
        </w:rPr>
        <w:t>，</w:t>
      </w:r>
      <w:r>
        <w:rPr>
          <w:rFonts w:hint="default"/>
          <w:color w:val="auto"/>
          <w:lang w:val="en-US" w:eastAsia="zh-CN"/>
        </w:rPr>
        <w:t>打造包括轨道1、2号线、轨道机场线、公交、停车、慢行系统在内</w:t>
      </w:r>
      <w:r>
        <w:rPr>
          <w:rFonts w:hint="eastAsia"/>
          <w:color w:val="auto"/>
          <w:lang w:val="en-US" w:eastAsia="zh-CN"/>
        </w:rPr>
        <w:t>，</w:t>
      </w:r>
      <w:r>
        <w:rPr>
          <w:rFonts w:hint="default"/>
          <w:color w:val="auto"/>
          <w:lang w:val="en-US" w:eastAsia="zh-CN"/>
        </w:rPr>
        <w:t>集城市候机、轨道及公交出行、停车、休闲功能于一体的综合枢纽</w:t>
      </w:r>
      <w:r>
        <w:rPr>
          <w:rFonts w:hint="eastAsia"/>
          <w:color w:val="auto"/>
          <w:lang w:val="en-US" w:eastAsia="zh-CN"/>
        </w:rPr>
        <w:t>；</w:t>
      </w:r>
      <w:r>
        <w:rPr>
          <w:rFonts w:hint="default"/>
          <w:color w:val="auto"/>
          <w:lang w:val="en-US" w:eastAsia="zh-CN"/>
        </w:rPr>
        <w:t>围绕建设西站枢纽快速集疏运体系</w:t>
      </w:r>
      <w:r>
        <w:rPr>
          <w:rFonts w:hint="eastAsia"/>
          <w:color w:val="auto"/>
          <w:lang w:val="en-US" w:eastAsia="zh-CN"/>
        </w:rPr>
        <w:t>，</w:t>
      </w:r>
      <w:r>
        <w:rPr>
          <w:rFonts w:hint="default"/>
          <w:color w:val="auto"/>
          <w:lang w:val="en-US" w:eastAsia="zh-CN"/>
        </w:rPr>
        <w:t>加强南昌西站的对外快速交通联系</w:t>
      </w:r>
      <w:r>
        <w:rPr>
          <w:rFonts w:hint="eastAsia"/>
          <w:color w:val="auto"/>
          <w:lang w:val="en-US" w:eastAsia="zh-CN"/>
        </w:rPr>
        <w:t>，</w:t>
      </w:r>
      <w:r>
        <w:rPr>
          <w:rFonts w:hint="default"/>
          <w:color w:val="auto"/>
          <w:lang w:val="en-US" w:eastAsia="zh-CN"/>
        </w:rPr>
        <w:t>推进昌九快速路九龙湖段改造建设</w:t>
      </w:r>
      <w:r>
        <w:rPr>
          <w:rFonts w:hint="eastAsia"/>
          <w:color w:val="auto"/>
          <w:lang w:val="en-US" w:eastAsia="zh-CN"/>
        </w:rPr>
        <w:t>，</w:t>
      </w:r>
      <w:r>
        <w:rPr>
          <w:rFonts w:hint="default"/>
          <w:color w:val="auto"/>
          <w:lang w:val="en-US" w:eastAsia="zh-CN"/>
        </w:rPr>
        <w:t>实现西站大街、龙兴大街与昌九快速路的连接。构建南北连接、东西贯通的对外通道。完善跨江通道</w:t>
      </w:r>
      <w:r>
        <w:rPr>
          <w:rFonts w:hint="eastAsia"/>
          <w:color w:val="auto"/>
          <w:lang w:val="en-US" w:eastAsia="zh-CN"/>
        </w:rPr>
        <w:t>，</w:t>
      </w:r>
      <w:r>
        <w:rPr>
          <w:rFonts w:hint="default"/>
          <w:color w:val="auto"/>
          <w:lang w:val="en-US" w:eastAsia="zh-CN"/>
        </w:rPr>
        <w:t>疏解跨江交通</w:t>
      </w:r>
      <w:r>
        <w:rPr>
          <w:rFonts w:hint="eastAsia"/>
          <w:color w:val="auto"/>
          <w:lang w:val="en-US" w:eastAsia="zh-CN"/>
        </w:rPr>
        <w:t>，</w:t>
      </w:r>
      <w:r>
        <w:rPr>
          <w:rFonts w:hint="default"/>
          <w:color w:val="auto"/>
          <w:lang w:val="en-US" w:eastAsia="zh-CN"/>
        </w:rPr>
        <w:t>加快推进九龙大桥建设</w:t>
      </w:r>
      <w:r>
        <w:rPr>
          <w:rFonts w:hint="eastAsia"/>
          <w:color w:val="auto"/>
          <w:lang w:val="en-US" w:eastAsia="zh-CN"/>
        </w:rPr>
        <w:t>，</w:t>
      </w:r>
      <w:r>
        <w:rPr>
          <w:rFonts w:hint="default"/>
          <w:color w:val="auto"/>
          <w:lang w:val="en-US" w:eastAsia="zh-CN"/>
        </w:rPr>
        <w:t>助推跨江联动发展</w:t>
      </w:r>
      <w:r>
        <w:rPr>
          <w:rFonts w:hint="eastAsia"/>
          <w:color w:val="auto"/>
          <w:lang w:val="en-US" w:eastAsia="zh-CN"/>
        </w:rPr>
        <w:t>；</w:t>
      </w:r>
      <w:r>
        <w:rPr>
          <w:rFonts w:hint="default"/>
          <w:color w:val="auto"/>
          <w:lang w:val="en-US" w:eastAsia="zh-CN"/>
        </w:rPr>
        <w:t>依托二七通道建设</w:t>
      </w:r>
      <w:r>
        <w:rPr>
          <w:rFonts w:hint="eastAsia"/>
          <w:color w:val="auto"/>
          <w:lang w:val="en-US" w:eastAsia="zh-CN"/>
        </w:rPr>
        <w:t>，</w:t>
      </w:r>
      <w:r>
        <w:rPr>
          <w:rFonts w:hint="default"/>
          <w:color w:val="auto"/>
          <w:lang w:val="en-US" w:eastAsia="zh-CN"/>
        </w:rPr>
        <w:t>在既有金山大道-丰和大道通道的基础上</w:t>
      </w:r>
      <w:r>
        <w:rPr>
          <w:rFonts w:hint="eastAsia"/>
          <w:color w:val="auto"/>
          <w:lang w:val="en-US" w:eastAsia="zh-CN"/>
        </w:rPr>
        <w:t>，</w:t>
      </w:r>
      <w:r>
        <w:rPr>
          <w:rFonts w:hint="default"/>
          <w:color w:val="auto"/>
          <w:lang w:val="en-US" w:eastAsia="zh-CN"/>
        </w:rPr>
        <w:t>将枫生</w:t>
      </w:r>
      <w:r>
        <w:rPr>
          <w:rFonts w:hint="eastAsia"/>
          <w:color w:val="auto"/>
          <w:lang w:val="en-US" w:eastAsia="zh-CN"/>
        </w:rPr>
        <w:t>（</w:t>
      </w:r>
      <w:r>
        <w:rPr>
          <w:rFonts w:hint="default"/>
          <w:color w:val="auto"/>
          <w:lang w:val="en-US" w:eastAsia="zh-CN"/>
        </w:rPr>
        <w:t>昌九</w:t>
      </w:r>
      <w:r>
        <w:rPr>
          <w:rFonts w:hint="eastAsia"/>
          <w:color w:val="auto"/>
          <w:lang w:val="en-US" w:eastAsia="zh-CN"/>
        </w:rPr>
        <w:t>）</w:t>
      </w:r>
      <w:r>
        <w:rPr>
          <w:rFonts w:hint="default"/>
          <w:color w:val="auto"/>
          <w:lang w:val="en-US" w:eastAsia="zh-CN"/>
        </w:rPr>
        <w:t>快速路沿碟子湖大道接金山大道</w:t>
      </w:r>
      <w:r>
        <w:rPr>
          <w:rFonts w:hint="eastAsia"/>
          <w:color w:val="auto"/>
          <w:lang w:val="en-US" w:eastAsia="zh-CN"/>
        </w:rPr>
        <w:t>，</w:t>
      </w:r>
      <w:r>
        <w:rPr>
          <w:rFonts w:hint="default"/>
          <w:color w:val="auto"/>
          <w:lang w:val="en-US" w:eastAsia="zh-CN"/>
        </w:rPr>
        <w:t>形成一条南北向贯穿的快速路通道</w:t>
      </w:r>
      <w:r>
        <w:rPr>
          <w:rFonts w:hint="eastAsia"/>
          <w:color w:val="auto"/>
          <w:lang w:val="en-US" w:eastAsia="zh-CN"/>
        </w:rPr>
        <w:t>；</w:t>
      </w:r>
      <w:r>
        <w:rPr>
          <w:rFonts w:hint="default"/>
          <w:color w:val="auto"/>
          <w:lang w:val="en-US" w:eastAsia="zh-CN"/>
        </w:rPr>
        <w:t>结合320国道的改线</w:t>
      </w:r>
      <w:r>
        <w:rPr>
          <w:rFonts w:hint="eastAsia"/>
          <w:color w:val="auto"/>
          <w:lang w:val="en-US" w:eastAsia="zh-CN"/>
        </w:rPr>
        <w:t>，</w:t>
      </w:r>
      <w:r>
        <w:rPr>
          <w:rFonts w:hint="default"/>
          <w:color w:val="auto"/>
          <w:lang w:val="en-US" w:eastAsia="zh-CN"/>
        </w:rPr>
        <w:t>着力打通阁皂山大道-华南大道-长堎大道以及昌九快速路东西向通道</w:t>
      </w:r>
      <w:r>
        <w:rPr>
          <w:rFonts w:hint="eastAsia"/>
          <w:color w:val="auto"/>
          <w:lang w:val="en-US" w:eastAsia="zh-CN"/>
        </w:rPr>
        <w:t>，</w:t>
      </w:r>
      <w:r>
        <w:rPr>
          <w:rFonts w:hint="default"/>
          <w:color w:val="auto"/>
          <w:lang w:val="en-US" w:eastAsia="zh-CN"/>
        </w:rPr>
        <w:t>形成串联九龙湖-长堎-经开的干线性主干道</w:t>
      </w:r>
      <w:r>
        <w:rPr>
          <w:rFonts w:hint="eastAsia"/>
          <w:color w:val="auto"/>
          <w:lang w:val="en-US" w:eastAsia="zh-CN"/>
        </w:rPr>
        <w:t>；</w:t>
      </w:r>
      <w:r>
        <w:rPr>
          <w:rFonts w:hint="default"/>
          <w:color w:val="auto"/>
          <w:lang w:val="en-US" w:eastAsia="zh-CN"/>
        </w:rPr>
        <w:t>稳步将三清山大道向南打通</w:t>
      </w:r>
      <w:r>
        <w:rPr>
          <w:rFonts w:hint="eastAsia"/>
          <w:color w:val="auto"/>
          <w:lang w:val="en-US" w:eastAsia="zh-CN"/>
        </w:rPr>
        <w:t>，</w:t>
      </w:r>
      <w:r>
        <w:rPr>
          <w:rFonts w:hint="default"/>
          <w:color w:val="auto"/>
          <w:lang w:val="en-US" w:eastAsia="zh-CN"/>
        </w:rPr>
        <w:t>对接丰厚公路</w:t>
      </w:r>
      <w:r>
        <w:rPr>
          <w:rFonts w:hint="eastAsia"/>
          <w:color w:val="auto"/>
          <w:lang w:val="en-US" w:eastAsia="zh-CN"/>
        </w:rPr>
        <w:t>，</w:t>
      </w:r>
      <w:r>
        <w:rPr>
          <w:rFonts w:hint="default"/>
          <w:color w:val="auto"/>
          <w:lang w:val="en-US" w:eastAsia="zh-CN"/>
        </w:rPr>
        <w:t>串联丰城-九龙湖-红谷滩核心区</w:t>
      </w:r>
      <w:r>
        <w:rPr>
          <w:rFonts w:hint="eastAsia"/>
          <w:color w:val="auto"/>
          <w:lang w:val="en-US" w:eastAsia="zh-CN"/>
        </w:rPr>
        <w:t>，</w:t>
      </w:r>
      <w:r>
        <w:rPr>
          <w:rFonts w:hint="default"/>
          <w:color w:val="auto"/>
          <w:lang w:val="en-US" w:eastAsia="zh-CN"/>
        </w:rPr>
        <w:t>与枫生快速路形成</w:t>
      </w:r>
      <w:r>
        <w:rPr>
          <w:rFonts w:hint="eastAsia"/>
          <w:color w:val="auto"/>
          <w:lang w:val="en-US" w:eastAsia="zh-CN"/>
        </w:rPr>
        <w:t>“</w:t>
      </w:r>
      <w:r>
        <w:rPr>
          <w:rFonts w:hint="default"/>
          <w:color w:val="auto"/>
          <w:lang w:val="en-US" w:eastAsia="zh-CN"/>
        </w:rPr>
        <w:t>一快一干</w:t>
      </w:r>
      <w:r>
        <w:rPr>
          <w:rFonts w:hint="eastAsia"/>
          <w:color w:val="auto"/>
          <w:lang w:val="en-US" w:eastAsia="zh-CN"/>
        </w:rPr>
        <w:t>”</w:t>
      </w:r>
      <w:r>
        <w:rPr>
          <w:rFonts w:hint="default"/>
          <w:color w:val="auto"/>
          <w:lang w:val="en-US" w:eastAsia="zh-CN"/>
        </w:rPr>
        <w:t>复合通道。规划建设全天候步行系统</w:t>
      </w:r>
      <w:r>
        <w:rPr>
          <w:rFonts w:hint="eastAsia"/>
          <w:color w:val="auto"/>
          <w:lang w:val="en-US" w:eastAsia="zh-CN"/>
        </w:rPr>
        <w:t>，</w:t>
      </w:r>
      <w:r>
        <w:rPr>
          <w:rFonts w:hint="default"/>
          <w:color w:val="auto"/>
          <w:lang w:val="en-US" w:eastAsia="zh-CN"/>
        </w:rPr>
        <w:t>围绕重要步行廊道及景观带打造立体过街系统</w:t>
      </w:r>
      <w:r>
        <w:rPr>
          <w:rFonts w:hint="eastAsia"/>
          <w:color w:val="auto"/>
          <w:lang w:val="en-US" w:eastAsia="zh-CN"/>
        </w:rPr>
        <w:t>，</w:t>
      </w:r>
      <w:r>
        <w:rPr>
          <w:rFonts w:hint="default"/>
          <w:color w:val="auto"/>
          <w:lang w:val="en-US" w:eastAsia="zh-CN"/>
        </w:rPr>
        <w:t>解决中心区地面交通拥堵的问题</w:t>
      </w:r>
      <w:r>
        <w:rPr>
          <w:rFonts w:hint="eastAsia"/>
          <w:color w:val="auto"/>
          <w:lang w:val="en-US" w:eastAsia="zh-CN"/>
        </w:rPr>
        <w:t>，</w:t>
      </w:r>
      <w:r>
        <w:rPr>
          <w:rFonts w:hint="default"/>
          <w:color w:val="auto"/>
          <w:lang w:val="en-US" w:eastAsia="zh-CN"/>
        </w:rPr>
        <w:t>提升步行出行空间品质和连续性</w:t>
      </w:r>
      <w:r>
        <w:rPr>
          <w:rFonts w:hint="eastAsia"/>
          <w:color w:val="auto"/>
          <w:lang w:val="en-US" w:eastAsia="zh-CN"/>
        </w:rPr>
        <w:t>；</w:t>
      </w:r>
      <w:r>
        <w:rPr>
          <w:rFonts w:hint="default"/>
          <w:color w:val="auto"/>
          <w:lang w:val="en-US" w:eastAsia="zh-CN"/>
        </w:rPr>
        <w:t>建立以地面通道为主的中短距离出行系统</w:t>
      </w:r>
      <w:r>
        <w:rPr>
          <w:rFonts w:hint="eastAsia"/>
          <w:color w:val="auto"/>
          <w:lang w:val="en-US" w:eastAsia="zh-CN"/>
        </w:rPr>
        <w:t>，</w:t>
      </w:r>
      <w:r>
        <w:rPr>
          <w:rFonts w:hint="default"/>
          <w:color w:val="auto"/>
          <w:lang w:val="en-US" w:eastAsia="zh-CN"/>
        </w:rPr>
        <w:t>形成四通八达、便捷连续的步行和自行车出行网络</w:t>
      </w:r>
      <w:r>
        <w:rPr>
          <w:rFonts w:hint="eastAsia"/>
          <w:color w:val="auto"/>
          <w:lang w:val="en-US" w:eastAsia="zh-CN"/>
        </w:rPr>
        <w:t>，</w:t>
      </w:r>
      <w:r>
        <w:rPr>
          <w:rFonts w:hint="default"/>
          <w:color w:val="auto"/>
          <w:lang w:val="en-US" w:eastAsia="zh-CN"/>
        </w:rPr>
        <w:t>在重要步行廊道布设连廊</w:t>
      </w:r>
      <w:r>
        <w:rPr>
          <w:rFonts w:hint="eastAsia"/>
          <w:color w:val="auto"/>
          <w:lang w:val="en-US" w:eastAsia="zh-CN"/>
        </w:rPr>
        <w:t>；</w:t>
      </w:r>
      <w:r>
        <w:rPr>
          <w:rFonts w:hint="default"/>
          <w:color w:val="auto"/>
          <w:lang w:val="en-US" w:eastAsia="zh-CN"/>
        </w:rPr>
        <w:t>将轨道站点与周边主要建筑地下开发空间相互连通</w:t>
      </w:r>
      <w:r>
        <w:rPr>
          <w:rFonts w:hint="eastAsia"/>
          <w:color w:val="auto"/>
          <w:lang w:val="en-US" w:eastAsia="zh-CN"/>
        </w:rPr>
        <w:t>，</w:t>
      </w:r>
      <w:r>
        <w:rPr>
          <w:rFonts w:hint="default"/>
          <w:color w:val="auto"/>
          <w:lang w:val="en-US" w:eastAsia="zh-CN"/>
        </w:rPr>
        <w:t>形成融合步行交通、轨道交通系统和地下商业开发空间的地下空间步行系统</w:t>
      </w:r>
      <w:r>
        <w:rPr>
          <w:rFonts w:hint="eastAsia"/>
          <w:color w:val="auto"/>
          <w:lang w:val="en-US" w:eastAsia="zh-CN"/>
        </w:rPr>
        <w:t>，</w:t>
      </w:r>
      <w:r>
        <w:rPr>
          <w:rFonts w:hint="default"/>
          <w:color w:val="auto"/>
          <w:lang w:val="en-US" w:eastAsia="zh-CN"/>
        </w:rPr>
        <w:t>满足站点周边步行需求、轨道交通换乘需求。</w:t>
      </w:r>
    </w:p>
    <w:p>
      <w:pPr>
        <w:pStyle w:val="20"/>
        <w:numPr>
          <w:ilvl w:val="1"/>
          <w:numId w:val="0"/>
        </w:numPr>
        <w:bidi w:val="0"/>
        <w:ind w:leftChars="0"/>
        <w:rPr>
          <w:rFonts w:hint="default" w:ascii="仿宋" w:hAnsi="仿宋" w:eastAsia="仿宋" w:cs="仿宋"/>
          <w:color w:val="auto"/>
          <w:lang w:val="en-US" w:eastAsia="zh-CN"/>
        </w:rPr>
      </w:pPr>
      <w:bookmarkStart w:id="242" w:name="_Toc20928"/>
      <w:bookmarkStart w:id="243" w:name="_Toc8008"/>
      <w:bookmarkStart w:id="244" w:name="_Toc1095"/>
      <w:bookmarkStart w:id="245" w:name="_Toc7613"/>
      <w:r>
        <w:rPr>
          <w:rFonts w:hint="eastAsia" w:ascii="仿宋" w:hAnsi="仿宋" w:eastAsia="仿宋" w:cs="仿宋"/>
          <w:color w:val="auto"/>
          <w:lang w:val="en-US" w:eastAsia="zh-CN"/>
        </w:rPr>
        <w:t>（四）生态经济体系建设</w:t>
      </w:r>
      <w:bookmarkEnd w:id="242"/>
      <w:bookmarkEnd w:id="243"/>
      <w:bookmarkEnd w:id="244"/>
      <w:bookmarkEnd w:id="245"/>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246" w:name="_Toc26098"/>
      <w:bookmarkStart w:id="247" w:name="_Toc20529"/>
      <w:bookmarkStart w:id="248" w:name="_Toc29609"/>
      <w:bookmarkStart w:id="249" w:name="_Toc30621"/>
      <w:r>
        <w:rPr>
          <w:rFonts w:hint="eastAsia" w:ascii="Times New Roman" w:hAnsi="Times New Roman" w:cs="Times New Roman"/>
          <w:color w:val="auto"/>
          <w:lang w:val="en-US" w:eastAsia="zh-CN"/>
        </w:rPr>
        <w:t>1.优化调整产业结构</w:t>
      </w:r>
      <w:bookmarkEnd w:id="246"/>
      <w:bookmarkEnd w:id="247"/>
      <w:bookmarkEnd w:id="248"/>
      <w:bookmarkEnd w:id="249"/>
    </w:p>
    <w:p>
      <w:pPr>
        <w:pStyle w:val="21"/>
        <w:bidi w:val="0"/>
        <w:rPr>
          <w:rStyle w:val="22"/>
          <w:color w:val="auto"/>
          <w:lang w:val="en-US" w:eastAsia="zh-CN"/>
        </w:rPr>
      </w:pPr>
      <w:r>
        <w:rPr>
          <w:rStyle w:val="22"/>
          <w:rFonts w:hint="eastAsia"/>
          <w:color w:val="auto"/>
          <w:lang w:val="en-US" w:eastAsia="zh-CN"/>
        </w:rPr>
        <w:t>建设现代产业体系，进一步优化产业结构，“十四五期间”，现代化产业体系基本建立，对房地产、建筑业的依赖性持续减弱，“五个中心”建设取得更大成效。到2025年，服务业增加值占GDP比重达到91.5%左右，金融业增加值占GDP比重达到36.7%，数字经济核心产业增加值占GDP比重达到10%左右，文化产业增加值占GDP比重达到5%。加快推动产业结构转型升级。</w:t>
      </w:r>
    </w:p>
    <w:p>
      <w:pPr>
        <w:pStyle w:val="28"/>
        <w:numPr>
          <w:ilvl w:val="1"/>
          <w:numId w:val="0"/>
        </w:numPr>
        <w:bidi w:val="0"/>
        <w:ind w:firstLine="562" w:firstLineChars="200"/>
        <w:rPr>
          <w:rFonts w:hint="eastAsia"/>
          <w:color w:val="auto"/>
          <w:lang w:val="en-US" w:eastAsia="zh-CN"/>
        </w:rPr>
      </w:pPr>
      <w:bookmarkStart w:id="250" w:name="_Toc21476"/>
      <w:bookmarkStart w:id="251" w:name="_Toc24232"/>
      <w:bookmarkStart w:id="252" w:name="_Toc6265"/>
      <w:bookmarkStart w:id="253" w:name="_Toc6870"/>
      <w:r>
        <w:rPr>
          <w:rFonts w:hint="eastAsia"/>
          <w:color w:val="auto"/>
          <w:lang w:val="en-US" w:eastAsia="zh-CN"/>
        </w:rPr>
        <w:t>2.大力发展绿色经济产业</w:t>
      </w:r>
      <w:bookmarkEnd w:id="250"/>
      <w:bookmarkEnd w:id="251"/>
    </w:p>
    <w:p>
      <w:pPr>
        <w:pStyle w:val="21"/>
        <w:numPr>
          <w:ilvl w:val="0"/>
          <w:numId w:val="0"/>
        </w:numPr>
        <w:tabs>
          <w:tab w:val="left" w:pos="0"/>
        </w:tabs>
        <w:bidi w:val="0"/>
        <w:ind w:leftChars="200" w:firstLine="0" w:firstLineChars="0"/>
        <w:outlineLvl w:val="3"/>
        <w:rPr>
          <w:rFonts w:hint="eastAsia"/>
          <w:b/>
          <w:bCs/>
          <w:color w:val="auto"/>
          <w:lang w:val="en-US" w:eastAsia="zh-CN"/>
        </w:rPr>
      </w:pPr>
      <w:r>
        <w:rPr>
          <w:rFonts w:hint="eastAsia"/>
          <w:b/>
          <w:bCs/>
          <w:color w:val="auto"/>
          <w:lang w:val="en-US" w:eastAsia="zh-CN"/>
        </w:rPr>
        <w:t>（1）加快布局数字经济</w:t>
      </w:r>
    </w:p>
    <w:p>
      <w:pPr>
        <w:pStyle w:val="21"/>
        <w:bidi w:val="0"/>
        <w:rPr>
          <w:rFonts w:hint="default"/>
          <w:color w:val="auto"/>
          <w:lang w:val="en-US" w:eastAsia="zh-CN"/>
        </w:rPr>
      </w:pPr>
      <w:r>
        <w:rPr>
          <w:rFonts w:hint="default"/>
          <w:color w:val="auto"/>
          <w:lang w:val="en-US" w:eastAsia="zh-CN"/>
        </w:rPr>
        <w:t>深入实施数字经济</w:t>
      </w:r>
      <w:r>
        <w:rPr>
          <w:rFonts w:hint="eastAsia"/>
          <w:color w:val="auto"/>
          <w:lang w:val="en-US" w:eastAsia="zh-CN"/>
        </w:rPr>
        <w:t>“</w:t>
      </w:r>
      <w:r>
        <w:rPr>
          <w:rFonts w:hint="default"/>
          <w:color w:val="auto"/>
          <w:lang w:val="en-US" w:eastAsia="zh-CN"/>
        </w:rPr>
        <w:t>一号工程</w:t>
      </w:r>
      <w:r>
        <w:rPr>
          <w:rFonts w:hint="eastAsia"/>
          <w:color w:val="auto"/>
          <w:lang w:val="en-US" w:eastAsia="zh-CN"/>
        </w:rPr>
        <w:t>”，</w:t>
      </w:r>
      <w:r>
        <w:rPr>
          <w:rFonts w:hint="default"/>
          <w:color w:val="auto"/>
          <w:lang w:val="en-US" w:eastAsia="zh-CN"/>
        </w:rPr>
        <w:t>以数字产业化和产业数字化为主线</w:t>
      </w:r>
      <w:r>
        <w:rPr>
          <w:rFonts w:hint="eastAsia"/>
          <w:color w:val="auto"/>
          <w:lang w:val="en-US" w:eastAsia="zh-CN"/>
        </w:rPr>
        <w:t>，</w:t>
      </w:r>
      <w:r>
        <w:rPr>
          <w:rFonts w:hint="default"/>
          <w:color w:val="auto"/>
          <w:lang w:val="en-US" w:eastAsia="zh-CN"/>
        </w:rPr>
        <w:t>全面构建</w:t>
      </w:r>
      <w:r>
        <w:rPr>
          <w:rFonts w:hint="eastAsia"/>
          <w:color w:val="auto"/>
          <w:lang w:val="en-US" w:eastAsia="zh-CN"/>
        </w:rPr>
        <w:t>“</w:t>
      </w:r>
      <w:r>
        <w:rPr>
          <w:rFonts w:hint="default"/>
          <w:color w:val="auto"/>
          <w:lang w:val="en-US" w:eastAsia="zh-CN"/>
        </w:rPr>
        <w:t>一城九园多点</w:t>
      </w:r>
      <w:r>
        <w:rPr>
          <w:rFonts w:hint="eastAsia"/>
          <w:color w:val="auto"/>
          <w:lang w:val="en-US" w:eastAsia="zh-CN"/>
        </w:rPr>
        <w:t>”</w:t>
      </w:r>
      <w:r>
        <w:rPr>
          <w:rFonts w:hint="default"/>
          <w:color w:val="auto"/>
          <w:lang w:val="en-US" w:eastAsia="zh-CN"/>
        </w:rPr>
        <w:t>的产业布局</w:t>
      </w:r>
      <w:r>
        <w:rPr>
          <w:rFonts w:hint="eastAsia"/>
          <w:color w:val="auto"/>
          <w:lang w:val="en-US" w:eastAsia="zh-CN"/>
        </w:rPr>
        <w:t>，</w:t>
      </w:r>
      <w:r>
        <w:rPr>
          <w:rFonts w:hint="default"/>
          <w:color w:val="auto"/>
          <w:lang w:val="en-US" w:eastAsia="zh-CN"/>
        </w:rPr>
        <w:t>加快建设全省数字经济发展总部、中国VR产业总部和全省物联网示范应用标杆区。</w:t>
      </w:r>
    </w:p>
    <w:p>
      <w:pPr>
        <w:pStyle w:val="21"/>
        <w:bidi w:val="0"/>
        <w:rPr>
          <w:rFonts w:hint="default"/>
          <w:color w:val="auto"/>
          <w:lang w:val="en-US" w:eastAsia="zh-CN"/>
        </w:rPr>
      </w:pPr>
      <w:r>
        <w:rPr>
          <w:rFonts w:hint="default"/>
          <w:b/>
          <w:bCs/>
          <w:color w:val="auto"/>
          <w:lang w:val="en-US" w:eastAsia="zh-CN"/>
        </w:rPr>
        <w:t>加快建设中国VR产业总部</w:t>
      </w:r>
      <w:r>
        <w:rPr>
          <w:rFonts w:hint="eastAsia"/>
          <w:b/>
          <w:bCs/>
          <w:color w:val="auto"/>
          <w:lang w:val="en-US" w:eastAsia="zh-CN"/>
        </w:rPr>
        <w:t>。</w:t>
      </w:r>
      <w:r>
        <w:rPr>
          <w:rFonts w:hint="default"/>
          <w:color w:val="auto"/>
          <w:lang w:val="en-US" w:eastAsia="zh-CN"/>
        </w:rPr>
        <w:t>围绕打造中国VR产业总部</w:t>
      </w:r>
      <w:r>
        <w:rPr>
          <w:rFonts w:hint="eastAsia"/>
          <w:color w:val="auto"/>
          <w:lang w:val="en-US" w:eastAsia="zh-CN"/>
        </w:rPr>
        <w:t>，</w:t>
      </w:r>
      <w:r>
        <w:rPr>
          <w:rFonts w:hint="default"/>
          <w:b w:val="0"/>
          <w:bCs w:val="0"/>
          <w:color w:val="auto"/>
          <w:lang w:val="en-US" w:eastAsia="zh-CN"/>
        </w:rPr>
        <w:t>大力引进和培育VR龙头企业</w:t>
      </w:r>
      <w:r>
        <w:rPr>
          <w:rFonts w:hint="eastAsia"/>
          <w:b w:val="0"/>
          <w:bCs w:val="0"/>
          <w:color w:val="auto"/>
          <w:lang w:val="en-US" w:eastAsia="zh-CN"/>
        </w:rPr>
        <w:t>，</w:t>
      </w:r>
      <w:r>
        <w:rPr>
          <w:rFonts w:hint="default"/>
          <w:b w:val="0"/>
          <w:bCs w:val="0"/>
          <w:color w:val="auto"/>
          <w:lang w:val="en-US" w:eastAsia="zh-CN"/>
        </w:rPr>
        <w:t>全力打造</w:t>
      </w:r>
      <w:r>
        <w:rPr>
          <w:rFonts w:hint="eastAsia"/>
          <w:b w:val="0"/>
          <w:bCs w:val="0"/>
          <w:color w:val="auto"/>
          <w:lang w:val="en-US" w:eastAsia="zh-CN"/>
        </w:rPr>
        <w:t>“</w:t>
      </w:r>
      <w:r>
        <w:rPr>
          <w:rFonts w:hint="default"/>
          <w:b w:val="0"/>
          <w:bCs w:val="0"/>
          <w:color w:val="auto"/>
          <w:lang w:val="en-US" w:eastAsia="zh-CN"/>
        </w:rPr>
        <w:t>中国V谷</w:t>
      </w:r>
      <w:r>
        <w:rPr>
          <w:rFonts w:hint="eastAsia"/>
          <w:b w:val="0"/>
          <w:bCs w:val="0"/>
          <w:color w:val="auto"/>
          <w:lang w:val="en-US" w:eastAsia="zh-CN"/>
        </w:rPr>
        <w:t>”</w:t>
      </w:r>
      <w:r>
        <w:rPr>
          <w:rFonts w:hint="default"/>
          <w:color w:val="auto"/>
          <w:lang w:val="en-US" w:eastAsia="zh-CN"/>
        </w:rPr>
        <w:t>。</w:t>
      </w:r>
      <w:r>
        <w:rPr>
          <w:color w:val="auto"/>
          <w:lang w:val="en-US" w:eastAsia="zh-CN"/>
        </w:rPr>
        <w:t>创建国家级VR创新应用先导区</w:t>
      </w:r>
      <w:r>
        <w:rPr>
          <w:rFonts w:hint="eastAsia"/>
          <w:color w:val="auto"/>
          <w:lang w:val="en-US" w:eastAsia="zh-CN"/>
        </w:rPr>
        <w:t>，</w:t>
      </w:r>
      <w:r>
        <w:rPr>
          <w:rFonts w:hint="default"/>
          <w:color w:val="auto"/>
          <w:lang w:val="en-US" w:eastAsia="zh-CN"/>
        </w:rPr>
        <w:t>加快产业项目落地、技术研发、示范应用</w:t>
      </w:r>
      <w:r>
        <w:rPr>
          <w:rFonts w:hint="eastAsia"/>
          <w:color w:val="auto"/>
          <w:lang w:val="en-US" w:eastAsia="zh-CN"/>
        </w:rPr>
        <w:t>，</w:t>
      </w:r>
      <w:r>
        <w:rPr>
          <w:rFonts w:hint="default"/>
          <w:color w:val="auto"/>
          <w:lang w:val="en-US" w:eastAsia="zh-CN"/>
        </w:rPr>
        <w:t>推动VR与其它行业融合创新</w:t>
      </w:r>
      <w:r>
        <w:rPr>
          <w:rFonts w:hint="eastAsia"/>
          <w:color w:val="auto"/>
          <w:lang w:val="en-US" w:eastAsia="zh-CN"/>
        </w:rPr>
        <w:t>，</w:t>
      </w:r>
      <w:r>
        <w:rPr>
          <w:rFonts w:hint="default"/>
          <w:color w:val="auto"/>
          <w:lang w:val="en-US" w:eastAsia="zh-CN"/>
        </w:rPr>
        <w:t>逐步形成国际竞争力的虚拟现实产业集群。持续办好世界VR产业大会</w:t>
      </w:r>
      <w:r>
        <w:rPr>
          <w:rFonts w:hint="eastAsia"/>
          <w:color w:val="auto"/>
          <w:lang w:val="en-US" w:eastAsia="zh-CN"/>
        </w:rPr>
        <w:t>，</w:t>
      </w:r>
      <w:r>
        <w:rPr>
          <w:rFonts w:hint="eastAsia"/>
          <w:b w:val="0"/>
          <w:bCs w:val="0"/>
          <w:color w:val="auto"/>
          <w:lang w:val="en-US" w:eastAsia="zh-CN"/>
        </w:rPr>
        <w:t>完善VR产业生态圈</w:t>
      </w:r>
      <w:r>
        <w:rPr>
          <w:rFonts w:hint="eastAsia"/>
          <w:color w:val="auto"/>
          <w:lang w:val="en-US" w:eastAsia="zh-CN"/>
        </w:rPr>
        <w:t>积极推动VR与公共文化产品融合发展，培育“VR+文化旅游”消费习惯。</w:t>
      </w:r>
    </w:p>
    <w:p>
      <w:pPr>
        <w:pStyle w:val="21"/>
        <w:bidi w:val="0"/>
        <w:rPr>
          <w:rFonts w:hint="default"/>
          <w:color w:val="auto"/>
          <w:lang w:val="en-US" w:eastAsia="zh-CN"/>
        </w:rPr>
      </w:pPr>
      <w:r>
        <w:rPr>
          <w:rFonts w:hint="default"/>
          <w:b/>
          <w:bCs/>
          <w:color w:val="auto"/>
          <w:lang w:val="en-US" w:eastAsia="zh-CN"/>
        </w:rPr>
        <w:t>培育壮大物联网产业</w:t>
      </w:r>
      <w:r>
        <w:rPr>
          <w:rFonts w:hint="eastAsia"/>
          <w:b/>
          <w:bCs/>
          <w:color w:val="auto"/>
          <w:lang w:val="en-US" w:eastAsia="zh-CN"/>
        </w:rPr>
        <w:t>。</w:t>
      </w:r>
      <w:r>
        <w:rPr>
          <w:rFonts w:hint="default"/>
          <w:b w:val="0"/>
          <w:bCs w:val="0"/>
          <w:color w:val="auto"/>
          <w:lang w:val="en-US" w:eastAsia="zh-CN"/>
        </w:rPr>
        <w:t>加快物联网产业布局规划</w:t>
      </w:r>
      <w:r>
        <w:rPr>
          <w:rFonts w:hint="eastAsia"/>
          <w:b w:val="0"/>
          <w:bCs w:val="0"/>
          <w:color w:val="auto"/>
          <w:lang w:val="en-US" w:eastAsia="zh-CN"/>
        </w:rPr>
        <w:t>，</w:t>
      </w:r>
      <w:r>
        <w:rPr>
          <w:rFonts w:hint="default"/>
          <w:color w:val="auto"/>
          <w:lang w:val="en-US" w:eastAsia="zh-CN"/>
        </w:rPr>
        <w:t>以企业为主体</w:t>
      </w:r>
      <w:r>
        <w:rPr>
          <w:rFonts w:hint="eastAsia"/>
          <w:color w:val="auto"/>
          <w:lang w:val="en-US" w:eastAsia="zh-CN"/>
        </w:rPr>
        <w:t>，</w:t>
      </w:r>
      <w:r>
        <w:rPr>
          <w:rFonts w:hint="default"/>
          <w:color w:val="auto"/>
          <w:lang w:val="en-US" w:eastAsia="zh-CN"/>
        </w:rPr>
        <w:t>以融合应用为主线</w:t>
      </w:r>
      <w:r>
        <w:rPr>
          <w:rFonts w:hint="eastAsia"/>
          <w:color w:val="auto"/>
          <w:lang w:val="en-US" w:eastAsia="zh-CN"/>
        </w:rPr>
        <w:t>，</w:t>
      </w:r>
      <w:r>
        <w:rPr>
          <w:rFonts w:hint="default"/>
          <w:color w:val="auto"/>
          <w:lang w:val="en-US" w:eastAsia="zh-CN"/>
        </w:rPr>
        <w:t>引进培育一批骨干企业</w:t>
      </w:r>
      <w:r>
        <w:rPr>
          <w:rFonts w:hint="eastAsia"/>
          <w:color w:val="auto"/>
          <w:lang w:val="en-US" w:eastAsia="zh-CN"/>
        </w:rPr>
        <w:t>，</w:t>
      </w:r>
      <w:r>
        <w:rPr>
          <w:rFonts w:hint="default"/>
          <w:b w:val="0"/>
          <w:bCs w:val="0"/>
          <w:color w:val="auto"/>
          <w:lang w:val="en-US" w:eastAsia="zh-CN"/>
        </w:rPr>
        <w:t>打造物联网公共服务平台</w:t>
      </w:r>
      <w:r>
        <w:rPr>
          <w:rFonts w:hint="eastAsia"/>
          <w:b w:val="0"/>
          <w:bCs w:val="0"/>
          <w:color w:val="auto"/>
          <w:lang w:val="en-US" w:eastAsia="zh-CN"/>
        </w:rPr>
        <w:t>，</w:t>
      </w:r>
      <w:r>
        <w:rPr>
          <w:rFonts w:hint="default"/>
          <w:b w:val="0"/>
          <w:bCs w:val="0"/>
          <w:color w:val="auto"/>
          <w:lang w:val="en-US" w:eastAsia="zh-CN"/>
        </w:rPr>
        <w:t>推动物联网示范应用融合发展</w:t>
      </w:r>
      <w:r>
        <w:rPr>
          <w:rFonts w:hint="eastAsia"/>
          <w:b w:val="0"/>
          <w:bCs w:val="0"/>
          <w:color w:val="auto"/>
          <w:lang w:val="en-US" w:eastAsia="zh-CN"/>
        </w:rPr>
        <w:t>，</w:t>
      </w:r>
      <w:r>
        <w:rPr>
          <w:rFonts w:hint="default"/>
          <w:color w:val="auto"/>
          <w:lang w:val="en-US" w:eastAsia="zh-CN"/>
        </w:rPr>
        <w:t>实施一批示范应用工程</w:t>
      </w:r>
      <w:r>
        <w:rPr>
          <w:rFonts w:hint="eastAsia"/>
          <w:color w:val="auto"/>
          <w:lang w:val="en-US" w:eastAsia="zh-CN"/>
        </w:rPr>
        <w:t>，</w:t>
      </w:r>
      <w:r>
        <w:rPr>
          <w:rFonts w:hint="default"/>
          <w:color w:val="auto"/>
          <w:lang w:val="en-US" w:eastAsia="zh-CN"/>
        </w:rPr>
        <w:t>推进软件开发和运营服务协同发展。</w:t>
      </w:r>
    </w:p>
    <w:p>
      <w:pPr>
        <w:pStyle w:val="21"/>
        <w:bidi w:val="0"/>
        <w:rPr>
          <w:rFonts w:hint="default"/>
          <w:color w:val="auto"/>
          <w:lang w:val="en-US" w:eastAsia="zh-CN"/>
        </w:rPr>
      </w:pPr>
      <w:r>
        <w:rPr>
          <w:rFonts w:hint="default"/>
          <w:b/>
          <w:bCs/>
          <w:color w:val="auto"/>
          <w:lang w:val="en-US" w:eastAsia="zh-CN"/>
        </w:rPr>
        <w:t>着力发展流量和平台经济</w:t>
      </w:r>
      <w:r>
        <w:rPr>
          <w:rFonts w:hint="eastAsia"/>
          <w:b/>
          <w:bCs/>
          <w:color w:val="auto"/>
          <w:lang w:val="en-US" w:eastAsia="zh-CN"/>
        </w:rPr>
        <w:t>。</w:t>
      </w:r>
      <w:r>
        <w:rPr>
          <w:rFonts w:hint="default"/>
          <w:color w:val="auto"/>
          <w:lang w:val="en-US" w:eastAsia="zh-CN"/>
        </w:rPr>
        <w:t>结合</w:t>
      </w:r>
      <w:r>
        <w:rPr>
          <w:rFonts w:hint="eastAsia"/>
          <w:color w:val="auto"/>
          <w:lang w:val="en-US" w:eastAsia="zh-CN"/>
        </w:rPr>
        <w:t>红谷滩区</w:t>
      </w:r>
      <w:r>
        <w:rPr>
          <w:rFonts w:hint="default"/>
          <w:color w:val="auto"/>
          <w:lang w:val="en-US" w:eastAsia="zh-CN"/>
        </w:rPr>
        <w:t>发展基础和特色</w:t>
      </w:r>
      <w:r>
        <w:rPr>
          <w:rFonts w:hint="eastAsia"/>
          <w:color w:val="auto"/>
          <w:lang w:val="en-US" w:eastAsia="zh-CN"/>
        </w:rPr>
        <w:t>，</w:t>
      </w:r>
      <w:r>
        <w:rPr>
          <w:rFonts w:hint="default"/>
          <w:color w:val="auto"/>
          <w:lang w:val="en-US" w:eastAsia="zh-CN"/>
        </w:rPr>
        <w:t>突出重点领域</w:t>
      </w:r>
      <w:r>
        <w:rPr>
          <w:rFonts w:hint="eastAsia"/>
          <w:color w:val="auto"/>
          <w:lang w:val="en-US" w:eastAsia="zh-CN"/>
        </w:rPr>
        <w:t>，</w:t>
      </w:r>
      <w:r>
        <w:rPr>
          <w:rFonts w:hint="default"/>
          <w:color w:val="auto"/>
          <w:lang w:val="en-US" w:eastAsia="zh-CN"/>
        </w:rPr>
        <w:t>培育一批特色鲜明、竞争力强的网络经济平台</w:t>
      </w:r>
      <w:r>
        <w:rPr>
          <w:rFonts w:hint="eastAsia"/>
          <w:color w:val="auto"/>
          <w:lang w:val="en-US" w:eastAsia="zh-CN"/>
        </w:rPr>
        <w:t>；</w:t>
      </w:r>
      <w:r>
        <w:rPr>
          <w:rFonts w:hint="default"/>
          <w:color w:val="auto"/>
          <w:lang w:val="en-US" w:eastAsia="zh-CN"/>
        </w:rPr>
        <w:t>集中扶持一批数据分析、云服务、信息服务、汽车后服务、医疗服务、国际教育、鉴定评估、品牌运营、融资和实训等多样化市场细分的特色平台</w:t>
      </w:r>
      <w:r>
        <w:rPr>
          <w:rFonts w:hint="eastAsia"/>
          <w:color w:val="auto"/>
          <w:lang w:val="en-US" w:eastAsia="zh-CN"/>
        </w:rPr>
        <w:t>；</w:t>
      </w:r>
      <w:r>
        <w:rPr>
          <w:rFonts w:hint="default"/>
          <w:color w:val="auto"/>
          <w:lang w:val="en-US" w:eastAsia="zh-CN"/>
        </w:rPr>
        <w:t>围绕汽车、黄金首饰、服装服饰、家居建材、糖酒茶叶等消费品领域</w:t>
      </w:r>
      <w:r>
        <w:rPr>
          <w:rFonts w:hint="eastAsia"/>
          <w:color w:val="auto"/>
          <w:lang w:val="en-US" w:eastAsia="zh-CN"/>
        </w:rPr>
        <w:t>，</w:t>
      </w:r>
      <w:r>
        <w:rPr>
          <w:rFonts w:hint="default"/>
          <w:color w:val="auto"/>
          <w:lang w:val="en-US" w:eastAsia="zh-CN"/>
        </w:rPr>
        <w:t>大力发展线上线下结合的新型商业模式</w:t>
      </w:r>
      <w:r>
        <w:rPr>
          <w:rFonts w:hint="eastAsia"/>
          <w:color w:val="auto"/>
          <w:lang w:val="en-US" w:eastAsia="zh-CN"/>
        </w:rPr>
        <w:t>，</w:t>
      </w:r>
      <w:r>
        <w:rPr>
          <w:rFonts w:hint="default"/>
          <w:color w:val="auto"/>
          <w:lang w:val="en-US" w:eastAsia="zh-CN"/>
        </w:rPr>
        <w:t>打造集创意设计、科技研发、采购交易、展览展示、时尚消费、品牌发布等功能于一体的消费服务平台</w:t>
      </w:r>
      <w:r>
        <w:rPr>
          <w:rFonts w:hint="eastAsia"/>
          <w:color w:val="auto"/>
          <w:lang w:val="en-US" w:eastAsia="zh-CN"/>
        </w:rPr>
        <w:t>；</w:t>
      </w:r>
      <w:r>
        <w:rPr>
          <w:rFonts w:hint="default"/>
          <w:color w:val="auto"/>
          <w:lang w:val="en-US" w:eastAsia="zh-CN"/>
        </w:rPr>
        <w:t>促进流量经济和平台经济快速发展</w:t>
      </w:r>
      <w:r>
        <w:rPr>
          <w:rFonts w:hint="eastAsia"/>
          <w:color w:val="auto"/>
          <w:lang w:val="en-US" w:eastAsia="zh-CN"/>
        </w:rPr>
        <w:t>，</w:t>
      </w:r>
      <w:r>
        <w:rPr>
          <w:rFonts w:hint="default"/>
          <w:color w:val="auto"/>
          <w:lang w:val="en-US" w:eastAsia="zh-CN"/>
        </w:rPr>
        <w:t>推动传统的交易市场形态向现代专业贸易中心转型。</w:t>
      </w:r>
    </w:p>
    <w:p>
      <w:pPr>
        <w:pStyle w:val="21"/>
        <w:bidi w:val="0"/>
        <w:rPr>
          <w:rFonts w:hint="eastAsia"/>
          <w:b/>
          <w:bCs/>
          <w:color w:val="auto"/>
          <w:lang w:val="en-US" w:eastAsia="zh-CN"/>
        </w:rPr>
      </w:pPr>
      <w:r>
        <w:rPr>
          <w:rFonts w:hint="default"/>
          <w:b/>
          <w:bCs/>
          <w:color w:val="auto"/>
          <w:lang w:val="en-US" w:eastAsia="zh-CN"/>
        </w:rPr>
        <w:t>积极培育数字经济新业态新模式</w:t>
      </w:r>
      <w:r>
        <w:rPr>
          <w:rFonts w:hint="eastAsia"/>
          <w:b/>
          <w:bCs/>
          <w:color w:val="auto"/>
          <w:lang w:val="en-US" w:eastAsia="zh-CN"/>
        </w:rPr>
        <w:t>。</w:t>
      </w:r>
      <w:r>
        <w:rPr>
          <w:rFonts w:hint="default"/>
          <w:color w:val="auto"/>
          <w:lang w:val="en-US" w:eastAsia="zh-CN"/>
        </w:rPr>
        <w:t>以5G、大数据、云计算、人工智能、区块链等为重点</w:t>
      </w:r>
      <w:r>
        <w:rPr>
          <w:rFonts w:hint="eastAsia"/>
          <w:color w:val="auto"/>
          <w:lang w:val="en-US" w:eastAsia="zh-CN"/>
        </w:rPr>
        <w:t>，</w:t>
      </w:r>
      <w:r>
        <w:rPr>
          <w:rFonts w:hint="default"/>
          <w:color w:val="auto"/>
          <w:lang w:val="en-US" w:eastAsia="zh-CN"/>
        </w:rPr>
        <w:t>抢抓时代机遇</w:t>
      </w:r>
      <w:r>
        <w:rPr>
          <w:rFonts w:hint="eastAsia"/>
          <w:color w:val="auto"/>
          <w:lang w:val="en-US" w:eastAsia="zh-CN"/>
        </w:rPr>
        <w:t>，</w:t>
      </w:r>
      <w:r>
        <w:rPr>
          <w:rFonts w:hint="default"/>
          <w:color w:val="auto"/>
          <w:lang w:val="en-US" w:eastAsia="zh-CN"/>
        </w:rPr>
        <w:t>积极谋划部署</w:t>
      </w:r>
      <w:r>
        <w:rPr>
          <w:rFonts w:hint="eastAsia"/>
          <w:color w:val="auto"/>
          <w:lang w:val="en-US" w:eastAsia="zh-CN"/>
        </w:rPr>
        <w:t>，</w:t>
      </w:r>
      <w:r>
        <w:rPr>
          <w:rFonts w:hint="default"/>
          <w:color w:val="auto"/>
          <w:lang w:val="en-US" w:eastAsia="zh-CN"/>
        </w:rPr>
        <w:t>催生更多的新产业、新技术、新业态、新模式</w:t>
      </w:r>
      <w:r>
        <w:rPr>
          <w:rFonts w:hint="eastAsia"/>
          <w:color w:val="auto"/>
          <w:lang w:val="en-US" w:eastAsia="zh-CN"/>
        </w:rPr>
        <w:t>，</w:t>
      </w:r>
      <w:r>
        <w:rPr>
          <w:rFonts w:hint="default"/>
          <w:color w:val="auto"/>
          <w:lang w:val="en-US" w:eastAsia="zh-CN"/>
        </w:rPr>
        <w:t>培育新的经济增长点。深入开展5G试点应用</w:t>
      </w:r>
      <w:r>
        <w:rPr>
          <w:rFonts w:hint="eastAsia"/>
          <w:color w:val="auto"/>
          <w:lang w:val="en-US" w:eastAsia="zh-CN"/>
        </w:rPr>
        <w:t>，</w:t>
      </w:r>
      <w:r>
        <w:rPr>
          <w:rFonts w:hint="default"/>
          <w:color w:val="auto"/>
          <w:lang w:val="en-US" w:eastAsia="zh-CN"/>
        </w:rPr>
        <w:t>大力推进5G与虚拟现实、云计算和大数据、人工智能等技术的融合创新。</w:t>
      </w:r>
      <w:r>
        <w:rPr>
          <w:rFonts w:hint="default"/>
          <w:b w:val="0"/>
          <w:bCs w:val="0"/>
          <w:color w:val="auto"/>
          <w:lang w:val="en-US" w:eastAsia="zh-CN"/>
        </w:rPr>
        <w:t>促进大数据产业发展</w:t>
      </w:r>
      <w:r>
        <w:rPr>
          <w:rFonts w:hint="eastAsia"/>
          <w:b w:val="0"/>
          <w:bCs w:val="0"/>
          <w:color w:val="auto"/>
          <w:lang w:val="en-US" w:eastAsia="zh-CN"/>
        </w:rPr>
        <w:t>，</w:t>
      </w:r>
      <w:r>
        <w:rPr>
          <w:b w:val="0"/>
          <w:bCs w:val="0"/>
          <w:color w:val="auto"/>
          <w:lang w:val="en-US" w:eastAsia="zh-CN"/>
        </w:rPr>
        <w:t>增强云计算应用和服务能力</w:t>
      </w:r>
      <w:r>
        <w:rPr>
          <w:rFonts w:hint="eastAsia"/>
          <w:b w:val="0"/>
          <w:bCs w:val="0"/>
          <w:color w:val="auto"/>
          <w:lang w:val="en-US" w:eastAsia="zh-CN"/>
        </w:rPr>
        <w:t>，</w:t>
      </w:r>
      <w:r>
        <w:rPr>
          <w:rFonts w:hint="default"/>
          <w:b w:val="0"/>
          <w:bCs w:val="0"/>
          <w:color w:val="auto"/>
          <w:lang w:val="en-US" w:eastAsia="zh-CN"/>
        </w:rPr>
        <w:t>培育发展人工智能产业</w:t>
      </w:r>
      <w:r>
        <w:rPr>
          <w:rFonts w:hint="eastAsia"/>
          <w:b w:val="0"/>
          <w:bCs w:val="0"/>
          <w:color w:val="auto"/>
          <w:lang w:val="en-US" w:eastAsia="zh-CN"/>
        </w:rPr>
        <w:t>，</w:t>
      </w:r>
      <w:r>
        <w:rPr>
          <w:rFonts w:hint="default"/>
          <w:b w:val="0"/>
          <w:bCs w:val="0"/>
          <w:color w:val="auto"/>
          <w:lang w:val="en-US" w:eastAsia="zh-CN"/>
        </w:rPr>
        <w:t>深化区块链融合应用</w:t>
      </w:r>
      <w:r>
        <w:rPr>
          <w:rFonts w:hint="eastAsia"/>
          <w:b w:val="0"/>
          <w:bCs w:val="0"/>
          <w:color w:val="auto"/>
          <w:lang w:val="en-US" w:eastAsia="zh-CN"/>
        </w:rPr>
        <w:t>，</w:t>
      </w:r>
      <w:r>
        <w:rPr>
          <w:rFonts w:hint="eastAsia"/>
          <w:color w:val="auto"/>
          <w:lang w:val="en-US" w:eastAsia="zh-CN"/>
        </w:rPr>
        <w:t>大力推动区块链赋能数字金融，</w:t>
      </w:r>
      <w:r>
        <w:rPr>
          <w:rFonts w:hint="default"/>
          <w:b w:val="0"/>
          <w:bCs w:val="0"/>
          <w:color w:val="auto"/>
          <w:lang w:val="en-US" w:eastAsia="zh-CN"/>
        </w:rPr>
        <w:t>打造数字软件和数字内容产业集群</w:t>
      </w:r>
      <w:r>
        <w:rPr>
          <w:rFonts w:hint="eastAsia"/>
          <w:b w:val="0"/>
          <w:bCs w:val="0"/>
          <w:color w:val="auto"/>
          <w:lang w:val="en-US" w:eastAsia="zh-CN"/>
        </w:rPr>
        <w:t>，</w:t>
      </w:r>
      <w:r>
        <w:rPr>
          <w:rFonts w:hint="eastAsia"/>
          <w:color w:val="auto"/>
          <w:lang w:val="en-US" w:eastAsia="zh-CN"/>
        </w:rPr>
        <w:t>构建数字内容平台和生态。</w:t>
      </w:r>
      <w:bookmarkStart w:id="254" w:name="_Toc24331"/>
    </w:p>
    <w:p>
      <w:pPr>
        <w:pStyle w:val="21"/>
        <w:keepNext w:val="0"/>
        <w:keepLines w:val="0"/>
        <w:pageBreakBefore w:val="0"/>
        <w:widowControl/>
        <w:numPr>
          <w:ilvl w:val="0"/>
          <w:numId w:val="0"/>
        </w:numPr>
        <w:kinsoku/>
        <w:wordWrap/>
        <w:overflowPunct/>
        <w:topLinePunct w:val="0"/>
        <w:autoSpaceDE/>
        <w:autoSpaceDN/>
        <w:bidi w:val="0"/>
        <w:adjustRightInd/>
        <w:snapToGrid/>
        <w:ind w:left="640" w:leftChars="200" w:firstLine="0" w:firstLineChars="0"/>
        <w:textAlignment w:val="auto"/>
        <w:outlineLvl w:val="3"/>
        <w:rPr>
          <w:rFonts w:hint="default"/>
          <w:b/>
          <w:bCs/>
          <w:color w:val="auto"/>
          <w:lang w:val="en-US" w:eastAsia="zh-CN"/>
        </w:rPr>
      </w:pPr>
      <w:r>
        <w:rPr>
          <w:rFonts w:hint="eastAsia"/>
          <w:b/>
          <w:bCs/>
          <w:color w:val="auto"/>
          <w:lang w:val="en-US" w:eastAsia="zh-CN"/>
        </w:rPr>
        <w:t>（2）</w:t>
      </w:r>
      <w:r>
        <w:rPr>
          <w:rFonts w:hint="default"/>
          <w:b/>
          <w:bCs/>
          <w:color w:val="auto"/>
          <w:lang w:val="en-US" w:eastAsia="zh-CN"/>
        </w:rPr>
        <w:t>创新提质现代服务业</w:t>
      </w:r>
      <w:bookmarkEnd w:id="254"/>
    </w:p>
    <w:p>
      <w:pPr>
        <w:pStyle w:val="21"/>
        <w:bidi w:val="0"/>
        <w:rPr>
          <w:rFonts w:hint="default"/>
          <w:color w:val="auto"/>
          <w:lang w:val="en-US" w:eastAsia="zh-CN"/>
        </w:rPr>
      </w:pPr>
      <w:r>
        <w:rPr>
          <w:rFonts w:hint="default"/>
          <w:b/>
          <w:bCs/>
          <w:color w:val="auto"/>
          <w:lang w:val="en-US" w:eastAsia="zh-CN"/>
        </w:rPr>
        <w:t>加快提升中高端商贸服务。</w:t>
      </w:r>
      <w:r>
        <w:rPr>
          <w:rFonts w:hint="default"/>
          <w:color w:val="auto"/>
          <w:lang w:val="en-US" w:eastAsia="zh-CN"/>
        </w:rPr>
        <w:t>发挥以万达广场、铜锣湾、融创茂等为核心的时尚消费商圈的引领作用</w:t>
      </w:r>
      <w:r>
        <w:rPr>
          <w:rFonts w:hint="eastAsia"/>
          <w:color w:val="auto"/>
          <w:lang w:val="en-US" w:eastAsia="zh-CN"/>
        </w:rPr>
        <w:t>，</w:t>
      </w:r>
      <w:r>
        <w:rPr>
          <w:rFonts w:hint="default"/>
          <w:color w:val="auto"/>
          <w:lang w:val="en-US" w:eastAsia="zh-CN"/>
        </w:rPr>
        <w:t>加大商贸领域招商引资力度</w:t>
      </w:r>
      <w:r>
        <w:rPr>
          <w:rFonts w:hint="eastAsia"/>
          <w:color w:val="auto"/>
          <w:lang w:val="en-US" w:eastAsia="zh-CN"/>
        </w:rPr>
        <w:t>，</w:t>
      </w:r>
      <w:r>
        <w:rPr>
          <w:rFonts w:hint="default"/>
          <w:color w:val="auto"/>
          <w:lang w:val="en-US" w:eastAsia="zh-CN"/>
        </w:rPr>
        <w:t>积极引进知名高端品牌和轻奢时尚品牌。合理布局大型商业设施和网点</w:t>
      </w:r>
      <w:r>
        <w:rPr>
          <w:rFonts w:hint="eastAsia"/>
          <w:color w:val="auto"/>
          <w:lang w:val="en-US" w:eastAsia="zh-CN"/>
        </w:rPr>
        <w:t>，</w:t>
      </w:r>
      <w:r>
        <w:rPr>
          <w:rFonts w:hint="default"/>
          <w:color w:val="auto"/>
          <w:lang w:val="en-US" w:eastAsia="zh-CN"/>
        </w:rPr>
        <w:t>促进特色商业适度集聚</w:t>
      </w:r>
      <w:r>
        <w:rPr>
          <w:rFonts w:hint="eastAsia"/>
          <w:color w:val="auto"/>
          <w:lang w:val="en-US" w:eastAsia="zh-CN"/>
        </w:rPr>
        <w:t>，</w:t>
      </w:r>
      <w:r>
        <w:rPr>
          <w:rFonts w:hint="default"/>
          <w:color w:val="auto"/>
          <w:lang w:val="en-US" w:eastAsia="zh-CN"/>
        </w:rPr>
        <w:t>培育和打造一批城市地标性商圈、商贸综合体、特色商业街。大力推进世茂APM商业中心、明园九龙湾商业综合体、莱蒙都会购物中心、中唯商业中心、华润中心、大都会等商业综合体建设</w:t>
      </w:r>
      <w:r>
        <w:rPr>
          <w:rFonts w:hint="eastAsia"/>
          <w:color w:val="auto"/>
          <w:lang w:val="en-US" w:eastAsia="zh-CN"/>
        </w:rPr>
        <w:t>，</w:t>
      </w:r>
      <w:r>
        <w:rPr>
          <w:rFonts w:hint="default"/>
          <w:color w:val="auto"/>
          <w:lang w:val="en-US" w:eastAsia="zh-CN"/>
        </w:rPr>
        <w:t>实施凤凰商贸城升级改造工程。引进国际国内精品百货、高端品牌专营店、快消连锁品牌旗舰店、潮流主题概念店等多种新型商业业态</w:t>
      </w:r>
      <w:r>
        <w:rPr>
          <w:rFonts w:hint="eastAsia"/>
          <w:color w:val="auto"/>
          <w:lang w:val="en-US" w:eastAsia="zh-CN"/>
        </w:rPr>
        <w:t>，</w:t>
      </w:r>
      <w:r>
        <w:rPr>
          <w:rFonts w:hint="default"/>
          <w:color w:val="auto"/>
          <w:lang w:val="en-US" w:eastAsia="zh-CN"/>
        </w:rPr>
        <w:t>打造全省首店、名店集合地</w:t>
      </w:r>
      <w:r>
        <w:rPr>
          <w:rFonts w:hint="eastAsia"/>
          <w:color w:val="auto"/>
          <w:lang w:val="en-US" w:eastAsia="zh-CN"/>
        </w:rPr>
        <w:t>，</w:t>
      </w:r>
      <w:r>
        <w:rPr>
          <w:rFonts w:hint="default"/>
          <w:color w:val="auto"/>
          <w:lang w:val="en-US" w:eastAsia="zh-CN"/>
        </w:rPr>
        <w:t>不断增强区域购物吸引力。加快传统商贸和实体商业发展模式创新</w:t>
      </w:r>
      <w:r>
        <w:rPr>
          <w:rFonts w:hint="eastAsia"/>
          <w:color w:val="auto"/>
          <w:lang w:val="en-US" w:eastAsia="zh-CN"/>
        </w:rPr>
        <w:t>，</w:t>
      </w:r>
      <w:r>
        <w:rPr>
          <w:rFonts w:hint="default"/>
          <w:color w:val="auto"/>
          <w:lang w:val="en-US" w:eastAsia="zh-CN"/>
        </w:rPr>
        <w:t>做精做深体验消费</w:t>
      </w:r>
      <w:r>
        <w:rPr>
          <w:rFonts w:hint="eastAsia"/>
          <w:color w:val="auto"/>
          <w:lang w:val="en-US" w:eastAsia="zh-CN"/>
        </w:rPr>
        <w:t>，</w:t>
      </w:r>
      <w:r>
        <w:rPr>
          <w:rFonts w:hint="default"/>
          <w:color w:val="auto"/>
          <w:lang w:val="en-US" w:eastAsia="zh-CN"/>
        </w:rPr>
        <w:t>重点支持商旅文体联动的体验购物中心、创新实验工厂区域店、文化创意店及主题餐饮等多种新模式</w:t>
      </w:r>
      <w:r>
        <w:rPr>
          <w:rFonts w:hint="eastAsia"/>
          <w:color w:val="auto"/>
          <w:lang w:val="en-US" w:eastAsia="zh-CN"/>
        </w:rPr>
        <w:t>，</w:t>
      </w:r>
      <w:r>
        <w:rPr>
          <w:rFonts w:hint="default"/>
          <w:color w:val="auto"/>
          <w:lang w:val="en-US" w:eastAsia="zh-CN"/>
        </w:rPr>
        <w:t>推动传统销售场所向社交体验、时尚消费、信息消费、文化消费等新兴业态转变。</w:t>
      </w:r>
    </w:p>
    <w:p>
      <w:pPr>
        <w:pStyle w:val="21"/>
        <w:bidi w:val="0"/>
        <w:rPr>
          <w:rFonts w:hint="default"/>
          <w:color w:val="auto"/>
          <w:lang w:val="en-US" w:eastAsia="zh-CN"/>
        </w:rPr>
      </w:pPr>
      <w:r>
        <w:rPr>
          <w:rFonts w:hint="default"/>
          <w:b/>
          <w:bCs/>
          <w:color w:val="auto"/>
          <w:lang w:val="en-US" w:eastAsia="zh-CN"/>
        </w:rPr>
        <w:t>培育发展多元化智慧商圈。</w:t>
      </w:r>
      <w:r>
        <w:rPr>
          <w:rFonts w:hint="default"/>
          <w:color w:val="auto"/>
          <w:lang w:val="en-US" w:eastAsia="zh-CN"/>
        </w:rPr>
        <w:t>顺应消费市场新潮流</w:t>
      </w:r>
      <w:r>
        <w:rPr>
          <w:rFonts w:hint="eastAsia"/>
          <w:color w:val="auto"/>
          <w:lang w:val="en-US" w:eastAsia="zh-CN"/>
        </w:rPr>
        <w:t>，</w:t>
      </w:r>
      <w:r>
        <w:rPr>
          <w:rFonts w:hint="default"/>
          <w:color w:val="auto"/>
          <w:lang w:val="en-US" w:eastAsia="zh-CN"/>
        </w:rPr>
        <w:t>促进线上线下融合、多领域协同</w:t>
      </w:r>
      <w:r>
        <w:rPr>
          <w:rFonts w:hint="eastAsia"/>
          <w:color w:val="auto"/>
          <w:lang w:val="en-US" w:eastAsia="zh-CN"/>
        </w:rPr>
        <w:t>，</w:t>
      </w:r>
      <w:r>
        <w:rPr>
          <w:rFonts w:hint="default"/>
          <w:color w:val="auto"/>
          <w:lang w:val="en-US" w:eastAsia="zh-CN"/>
        </w:rPr>
        <w:t>吸引国内新零售知名企业在</w:t>
      </w:r>
      <w:r>
        <w:rPr>
          <w:rFonts w:hint="eastAsia"/>
          <w:color w:val="auto"/>
          <w:lang w:val="en-US" w:eastAsia="zh-CN"/>
        </w:rPr>
        <w:t>红谷滩区</w:t>
      </w:r>
      <w:r>
        <w:rPr>
          <w:rFonts w:hint="default"/>
          <w:color w:val="auto"/>
          <w:lang w:val="en-US" w:eastAsia="zh-CN"/>
        </w:rPr>
        <w:t>云集</w:t>
      </w:r>
      <w:r>
        <w:rPr>
          <w:rFonts w:hint="eastAsia"/>
          <w:color w:val="auto"/>
          <w:lang w:val="en-US" w:eastAsia="zh-CN"/>
        </w:rPr>
        <w:t>，</w:t>
      </w:r>
      <w:r>
        <w:rPr>
          <w:rFonts w:hint="default"/>
          <w:color w:val="auto"/>
          <w:lang w:val="en-US" w:eastAsia="zh-CN"/>
        </w:rPr>
        <w:t>培育数字化智慧超市、智慧餐厅和无人店等新业态。依托</w:t>
      </w:r>
      <w:r>
        <w:rPr>
          <w:rFonts w:hint="eastAsia"/>
          <w:color w:val="auto"/>
          <w:lang w:val="en-US" w:eastAsia="zh-CN"/>
        </w:rPr>
        <w:t>“</w:t>
      </w:r>
      <w:r>
        <w:rPr>
          <w:rFonts w:hint="default"/>
          <w:color w:val="auto"/>
          <w:lang w:val="en-US" w:eastAsia="zh-CN"/>
        </w:rPr>
        <w:t>未来汽车世界</w:t>
      </w:r>
      <w:r>
        <w:rPr>
          <w:rFonts w:hint="eastAsia"/>
          <w:color w:val="auto"/>
          <w:lang w:val="en-US" w:eastAsia="zh-CN"/>
        </w:rPr>
        <w:t>”</w:t>
      </w:r>
      <w:r>
        <w:rPr>
          <w:rFonts w:hint="default"/>
          <w:color w:val="auto"/>
          <w:lang w:val="en-US" w:eastAsia="zh-CN"/>
        </w:rPr>
        <w:t>项目</w:t>
      </w:r>
      <w:r>
        <w:rPr>
          <w:rFonts w:hint="eastAsia"/>
          <w:color w:val="auto"/>
          <w:lang w:val="en-US" w:eastAsia="zh-CN"/>
        </w:rPr>
        <w:t>，</w:t>
      </w:r>
      <w:r>
        <w:rPr>
          <w:rFonts w:hint="default"/>
          <w:color w:val="auto"/>
          <w:lang w:val="en-US" w:eastAsia="zh-CN"/>
        </w:rPr>
        <w:t>加快启动建立中部地区首家阿里汽车线下体验店、南昌首个汽车品牌体验中心和南昌最大汽车新金融平台。积极推动智慧商圈建设</w:t>
      </w:r>
      <w:r>
        <w:rPr>
          <w:rFonts w:hint="eastAsia"/>
          <w:color w:val="auto"/>
          <w:lang w:val="en-US" w:eastAsia="zh-CN"/>
        </w:rPr>
        <w:t>，</w:t>
      </w:r>
      <w:r>
        <w:rPr>
          <w:rFonts w:hint="default"/>
          <w:color w:val="auto"/>
          <w:lang w:val="en-US" w:eastAsia="zh-CN"/>
        </w:rPr>
        <w:t>实现商圈区域无线网络全覆盖</w:t>
      </w:r>
      <w:r>
        <w:rPr>
          <w:rFonts w:hint="eastAsia"/>
          <w:color w:val="auto"/>
          <w:lang w:val="en-US" w:eastAsia="zh-CN"/>
        </w:rPr>
        <w:t>，</w:t>
      </w:r>
      <w:r>
        <w:rPr>
          <w:rFonts w:hint="default"/>
          <w:color w:val="auto"/>
          <w:lang w:val="en-US" w:eastAsia="zh-CN"/>
        </w:rPr>
        <w:t>引入移动支付体系、智能导购、智能停车、大数据采集分析等系统。建设涵盖地理位置、网络媒体和城市基础数据等跨媒体智能城市公共大数据支持平台</w:t>
      </w:r>
      <w:r>
        <w:rPr>
          <w:rFonts w:hint="eastAsia"/>
          <w:color w:val="auto"/>
          <w:lang w:val="en-US" w:eastAsia="zh-CN"/>
        </w:rPr>
        <w:t>，</w:t>
      </w:r>
      <w:r>
        <w:rPr>
          <w:rFonts w:hint="default"/>
          <w:color w:val="auto"/>
          <w:lang w:val="en-US" w:eastAsia="zh-CN"/>
        </w:rPr>
        <w:t>拓展智能化、网络化的全渠道布局。</w:t>
      </w:r>
    </w:p>
    <w:p>
      <w:pPr>
        <w:pStyle w:val="21"/>
        <w:bidi w:val="0"/>
        <w:rPr>
          <w:rFonts w:hint="eastAsia"/>
          <w:b/>
          <w:bCs/>
          <w:color w:val="auto"/>
          <w:lang w:val="en-US" w:eastAsia="zh-CN"/>
        </w:rPr>
      </w:pPr>
      <w:r>
        <w:rPr>
          <w:rFonts w:hint="default"/>
          <w:b/>
          <w:bCs/>
          <w:color w:val="auto"/>
          <w:lang w:val="en-US" w:eastAsia="zh-CN"/>
        </w:rPr>
        <w:t>构建全域旅游发展新格局</w:t>
      </w:r>
      <w:r>
        <w:rPr>
          <w:rFonts w:hint="eastAsia"/>
          <w:b/>
          <w:bCs/>
          <w:color w:val="auto"/>
          <w:lang w:val="en-US" w:eastAsia="zh-CN"/>
        </w:rPr>
        <w:t>。</w:t>
      </w:r>
      <w:r>
        <w:rPr>
          <w:rFonts w:hint="default"/>
          <w:color w:val="auto"/>
          <w:lang w:val="en-US" w:eastAsia="zh-CN"/>
        </w:rPr>
        <w:t>打造</w:t>
      </w:r>
      <w:r>
        <w:rPr>
          <w:rFonts w:hint="eastAsia"/>
          <w:color w:val="auto"/>
          <w:lang w:val="en-US" w:eastAsia="zh-CN"/>
        </w:rPr>
        <w:t>“</w:t>
      </w:r>
      <w:r>
        <w:rPr>
          <w:rFonts w:hint="default"/>
          <w:color w:val="auto"/>
          <w:lang w:val="en-US" w:eastAsia="zh-CN"/>
        </w:rPr>
        <w:t>魅力红谷滩一日游</w:t>
      </w:r>
      <w:r>
        <w:rPr>
          <w:rFonts w:hint="eastAsia"/>
          <w:color w:val="auto"/>
          <w:lang w:val="en-US" w:eastAsia="zh-CN"/>
        </w:rPr>
        <w:t>”</w:t>
      </w:r>
      <w:r>
        <w:rPr>
          <w:rFonts w:hint="default"/>
          <w:color w:val="auto"/>
          <w:lang w:val="en-US" w:eastAsia="zh-CN"/>
        </w:rPr>
        <w:t>精品路线。塑造以赣江主题公园、融创文化旅游城等景观为代表的绿色旅游</w:t>
      </w:r>
      <w:r>
        <w:rPr>
          <w:rFonts w:hint="eastAsia"/>
          <w:color w:val="auto"/>
          <w:lang w:val="en-US" w:eastAsia="zh-CN"/>
        </w:rPr>
        <w:t>，</w:t>
      </w:r>
      <w:r>
        <w:rPr>
          <w:rFonts w:hint="default"/>
          <w:color w:val="auto"/>
          <w:lang w:val="en-US" w:eastAsia="zh-CN"/>
        </w:rPr>
        <w:t>以南昌舰</w:t>
      </w:r>
      <w:r>
        <w:rPr>
          <w:rFonts w:hint="eastAsia"/>
          <w:color w:val="auto"/>
          <w:lang w:val="en-US" w:eastAsia="zh-CN"/>
        </w:rPr>
        <w:t>主题园</w:t>
      </w:r>
      <w:r>
        <w:rPr>
          <w:rFonts w:hint="default"/>
          <w:color w:val="auto"/>
          <w:lang w:val="en-US" w:eastAsia="zh-CN"/>
        </w:rPr>
        <w:t>为代表的红色旅游</w:t>
      </w:r>
      <w:r>
        <w:rPr>
          <w:rFonts w:hint="eastAsia"/>
          <w:color w:val="auto"/>
          <w:lang w:val="en-US" w:eastAsia="zh-CN"/>
        </w:rPr>
        <w:t>，</w:t>
      </w:r>
      <w:r>
        <w:rPr>
          <w:rFonts w:hint="default"/>
          <w:color w:val="auto"/>
          <w:lang w:val="en-US" w:eastAsia="zh-CN"/>
        </w:rPr>
        <w:t>以牛行车站为代表的古色旅游</w:t>
      </w:r>
      <w:r>
        <w:rPr>
          <w:rFonts w:hint="eastAsia"/>
          <w:color w:val="auto"/>
          <w:lang w:val="en-US" w:eastAsia="zh-CN"/>
        </w:rPr>
        <w:t>，</w:t>
      </w:r>
      <w:r>
        <w:rPr>
          <w:rFonts w:hint="default"/>
          <w:color w:val="auto"/>
          <w:lang w:val="en-US" w:eastAsia="zh-CN"/>
        </w:rPr>
        <w:t>以南昌VR主题园为代表的金色旅游</w:t>
      </w:r>
      <w:r>
        <w:rPr>
          <w:rFonts w:hint="eastAsia"/>
          <w:color w:val="auto"/>
          <w:lang w:val="en-US" w:eastAsia="zh-CN"/>
        </w:rPr>
        <w:t>，</w:t>
      </w:r>
      <w:r>
        <w:rPr>
          <w:rFonts w:hint="default"/>
          <w:color w:val="auto"/>
          <w:lang w:val="en-US" w:eastAsia="zh-CN"/>
        </w:rPr>
        <w:t>形成以红、绿、古、金交相辉映的四色文化旅游体系</w:t>
      </w:r>
      <w:r>
        <w:rPr>
          <w:rFonts w:hint="eastAsia"/>
          <w:color w:val="auto"/>
          <w:lang w:val="en-US" w:eastAsia="zh-CN"/>
        </w:rPr>
        <w:t>，</w:t>
      </w:r>
      <w:r>
        <w:rPr>
          <w:rFonts w:hint="default"/>
          <w:color w:val="auto"/>
          <w:lang w:val="en-US" w:eastAsia="zh-CN"/>
        </w:rPr>
        <w:t>引导发展覆盖全域的南昌文化之旅、主题公园之旅、赣江水岸景观之旅、特色美食之旅、休闲购物之旅等项目</w:t>
      </w:r>
      <w:r>
        <w:rPr>
          <w:rFonts w:hint="eastAsia"/>
          <w:color w:val="auto"/>
          <w:lang w:val="en-US" w:eastAsia="zh-CN"/>
        </w:rPr>
        <w:t>，</w:t>
      </w:r>
      <w:r>
        <w:rPr>
          <w:rFonts w:hint="default"/>
          <w:color w:val="auto"/>
          <w:lang w:val="en-US" w:eastAsia="zh-CN"/>
        </w:rPr>
        <w:t>形成旅游精品路线</w:t>
      </w:r>
      <w:r>
        <w:rPr>
          <w:rFonts w:hint="eastAsia"/>
          <w:color w:val="auto"/>
          <w:lang w:val="en-US" w:eastAsia="zh-CN"/>
        </w:rPr>
        <w:t>，</w:t>
      </w:r>
      <w:r>
        <w:rPr>
          <w:rFonts w:hint="default"/>
          <w:color w:val="auto"/>
          <w:lang w:val="en-US" w:eastAsia="zh-CN"/>
        </w:rPr>
        <w:t>对接江西旅游平台</w:t>
      </w:r>
      <w:r>
        <w:rPr>
          <w:rFonts w:hint="eastAsia"/>
          <w:color w:val="auto"/>
          <w:lang w:val="en-US" w:eastAsia="zh-CN"/>
        </w:rPr>
        <w:t>，</w:t>
      </w:r>
      <w:r>
        <w:rPr>
          <w:rFonts w:hint="default"/>
          <w:color w:val="auto"/>
          <w:lang w:val="en-US" w:eastAsia="zh-CN"/>
        </w:rPr>
        <w:t>提升</w:t>
      </w:r>
      <w:r>
        <w:rPr>
          <w:rFonts w:hint="eastAsia"/>
          <w:color w:val="auto"/>
          <w:lang w:val="en-US" w:eastAsia="zh-CN"/>
        </w:rPr>
        <w:t>红谷滩区</w:t>
      </w:r>
      <w:r>
        <w:rPr>
          <w:rFonts w:hint="default"/>
          <w:color w:val="auto"/>
          <w:lang w:val="en-US" w:eastAsia="zh-CN"/>
        </w:rPr>
        <w:t>旅游的知名度。开展品牌景区创建工作</w:t>
      </w:r>
      <w:r>
        <w:rPr>
          <w:rFonts w:hint="eastAsia"/>
          <w:color w:val="auto"/>
          <w:lang w:val="en-US" w:eastAsia="zh-CN"/>
        </w:rPr>
        <w:t>，</w:t>
      </w:r>
      <w:r>
        <w:rPr>
          <w:rFonts w:hint="default"/>
          <w:color w:val="auto"/>
          <w:lang w:val="en-US" w:eastAsia="zh-CN"/>
        </w:rPr>
        <w:t>重点培育、提升创建1至2家品牌旅游景区。全面提升交通通达条件和标识体系</w:t>
      </w:r>
      <w:r>
        <w:rPr>
          <w:rFonts w:hint="eastAsia"/>
          <w:color w:val="auto"/>
          <w:lang w:val="en-US" w:eastAsia="zh-CN"/>
        </w:rPr>
        <w:t>，</w:t>
      </w:r>
      <w:r>
        <w:rPr>
          <w:rFonts w:hint="default"/>
          <w:color w:val="auto"/>
          <w:lang w:val="en-US" w:eastAsia="zh-CN"/>
        </w:rPr>
        <w:t>提升点与点之间的交通便捷、缩小景点内与景点外服务和环境差异、完善各功能区的配套服务等。</w:t>
      </w:r>
      <w:bookmarkStart w:id="255" w:name="_Toc18300"/>
    </w:p>
    <w:p>
      <w:pPr>
        <w:pStyle w:val="21"/>
        <w:keepNext w:val="0"/>
        <w:keepLines w:val="0"/>
        <w:pageBreakBefore w:val="0"/>
        <w:widowControl/>
        <w:numPr>
          <w:ilvl w:val="0"/>
          <w:numId w:val="0"/>
        </w:numPr>
        <w:kinsoku/>
        <w:wordWrap/>
        <w:overflowPunct/>
        <w:topLinePunct w:val="0"/>
        <w:autoSpaceDE/>
        <w:autoSpaceDN/>
        <w:bidi w:val="0"/>
        <w:adjustRightInd/>
        <w:snapToGrid/>
        <w:ind w:left="640" w:leftChars="200" w:firstLine="0" w:firstLineChars="0"/>
        <w:textAlignment w:val="auto"/>
        <w:outlineLvl w:val="3"/>
        <w:rPr>
          <w:rFonts w:hint="default"/>
          <w:b/>
          <w:bCs/>
          <w:color w:val="auto"/>
          <w:lang w:val="en-US" w:eastAsia="zh-CN"/>
        </w:rPr>
      </w:pPr>
      <w:r>
        <w:rPr>
          <w:rFonts w:hint="eastAsia"/>
          <w:b/>
          <w:bCs/>
          <w:color w:val="auto"/>
          <w:lang w:val="en-US" w:eastAsia="zh-CN"/>
        </w:rPr>
        <w:t>（3）</w:t>
      </w:r>
      <w:r>
        <w:rPr>
          <w:rFonts w:hint="default"/>
          <w:b/>
          <w:bCs/>
          <w:color w:val="auto"/>
          <w:lang w:val="en-US" w:eastAsia="zh-CN"/>
        </w:rPr>
        <w:t>健全壮大金融服务业</w:t>
      </w:r>
      <w:bookmarkEnd w:id="255"/>
    </w:p>
    <w:p>
      <w:pPr>
        <w:pStyle w:val="21"/>
        <w:bidi w:val="0"/>
        <w:rPr>
          <w:rFonts w:hint="default"/>
          <w:b/>
          <w:bCs/>
          <w:color w:val="auto"/>
          <w:lang w:val="en-US" w:eastAsia="zh-CN"/>
        </w:rPr>
      </w:pPr>
      <w:r>
        <w:rPr>
          <w:rFonts w:hint="default"/>
          <w:b/>
          <w:bCs/>
          <w:color w:val="auto"/>
          <w:lang w:val="en-US" w:eastAsia="zh-CN"/>
        </w:rPr>
        <w:t>推动形成</w:t>
      </w:r>
      <w:r>
        <w:rPr>
          <w:rFonts w:hint="eastAsia"/>
          <w:b/>
          <w:bCs/>
          <w:color w:val="auto"/>
          <w:lang w:val="en-US" w:eastAsia="zh-CN"/>
        </w:rPr>
        <w:t>“</w:t>
      </w:r>
      <w:r>
        <w:rPr>
          <w:rFonts w:hint="default"/>
          <w:b/>
          <w:bCs/>
          <w:color w:val="auto"/>
          <w:lang w:val="en-US" w:eastAsia="zh-CN"/>
        </w:rPr>
        <w:t>一核两翼多点</w:t>
      </w:r>
      <w:r>
        <w:rPr>
          <w:rFonts w:hint="eastAsia"/>
          <w:b/>
          <w:bCs/>
          <w:color w:val="auto"/>
          <w:lang w:val="en-US" w:eastAsia="zh-CN"/>
        </w:rPr>
        <w:t>”</w:t>
      </w:r>
      <w:r>
        <w:rPr>
          <w:rFonts w:hint="default"/>
          <w:b/>
          <w:bCs/>
          <w:color w:val="auto"/>
          <w:lang w:val="en-US" w:eastAsia="zh-CN"/>
        </w:rPr>
        <w:t>金融产业格局</w:t>
      </w:r>
      <w:r>
        <w:rPr>
          <w:rFonts w:hint="eastAsia"/>
          <w:b/>
          <w:bCs/>
          <w:color w:val="auto"/>
          <w:lang w:val="en-US" w:eastAsia="zh-CN"/>
        </w:rPr>
        <w:t>。</w:t>
      </w:r>
      <w:r>
        <w:rPr>
          <w:rFonts w:hint="eastAsia"/>
          <w:color w:val="auto"/>
          <w:lang w:val="en-US" w:eastAsia="zh-CN"/>
        </w:rPr>
        <w:t>按照“一核两翼多点”的金融产业空间布局思路，着力打造一个全省金融商务区核心区、两大金融创新服务区、若干金融特色产业园区（楼宇）的金融产业布局，形成整体金融产业空间支撑体系。</w:t>
      </w:r>
      <w:r>
        <w:rPr>
          <w:rFonts w:hint="default"/>
          <w:b w:val="0"/>
          <w:bCs w:val="0"/>
          <w:color w:val="auto"/>
          <w:lang w:val="en-US" w:eastAsia="zh-CN"/>
        </w:rPr>
        <w:t>发展各类金融资产和资源类交易场所等</w:t>
      </w:r>
      <w:r>
        <w:rPr>
          <w:rFonts w:hint="eastAsia"/>
          <w:b w:val="0"/>
          <w:bCs w:val="0"/>
          <w:color w:val="auto"/>
          <w:lang w:val="en-US" w:eastAsia="zh-CN"/>
        </w:rPr>
        <w:t>，</w:t>
      </w:r>
      <w:r>
        <w:rPr>
          <w:rFonts w:hint="default"/>
          <w:b w:val="0"/>
          <w:bCs w:val="0"/>
          <w:color w:val="auto"/>
          <w:lang w:val="en-US" w:eastAsia="zh-CN"/>
        </w:rPr>
        <w:t>进一步提升金融商务区核心区的城市形象和功能。</w:t>
      </w:r>
      <w:r>
        <w:rPr>
          <w:rFonts w:hint="default"/>
          <w:color w:val="auto"/>
          <w:lang w:val="en-US" w:eastAsia="zh-CN"/>
        </w:rPr>
        <w:t>建设知识产权交易平台、VR知识产权交易平台和VR产业金融综合服务平台</w:t>
      </w:r>
      <w:r>
        <w:rPr>
          <w:rFonts w:hint="eastAsia"/>
          <w:color w:val="auto"/>
          <w:lang w:val="en-US" w:eastAsia="zh-CN"/>
        </w:rPr>
        <w:t>，</w:t>
      </w:r>
      <w:r>
        <w:rPr>
          <w:rFonts w:hint="default"/>
          <w:color w:val="auto"/>
          <w:lang w:val="en-US" w:eastAsia="zh-CN"/>
        </w:rPr>
        <w:t>依托南昌VR产业基地等科技园区</w:t>
      </w:r>
      <w:r>
        <w:rPr>
          <w:rFonts w:hint="eastAsia"/>
          <w:color w:val="auto"/>
          <w:lang w:val="en-US" w:eastAsia="zh-CN"/>
        </w:rPr>
        <w:t>，</w:t>
      </w:r>
      <w:r>
        <w:rPr>
          <w:rFonts w:hint="default"/>
          <w:color w:val="auto"/>
          <w:lang w:val="en-US" w:eastAsia="zh-CN"/>
        </w:rPr>
        <w:t>快速打造成具有区域影响力的科技金融产业区。通过优化园区内的土地楼宇资源配置</w:t>
      </w:r>
      <w:r>
        <w:rPr>
          <w:rFonts w:hint="eastAsia"/>
          <w:color w:val="auto"/>
          <w:lang w:val="en-US" w:eastAsia="zh-CN"/>
        </w:rPr>
        <w:t>，</w:t>
      </w:r>
      <w:r>
        <w:rPr>
          <w:rFonts w:hint="default"/>
          <w:color w:val="auto"/>
          <w:lang w:val="en-US" w:eastAsia="zh-CN"/>
        </w:rPr>
        <w:t>提高资源利用效率、加快金融资源集聚</w:t>
      </w:r>
      <w:r>
        <w:rPr>
          <w:rFonts w:hint="eastAsia"/>
          <w:color w:val="auto"/>
          <w:lang w:val="en-US" w:eastAsia="zh-CN"/>
        </w:rPr>
        <w:t>，</w:t>
      </w:r>
      <w:r>
        <w:rPr>
          <w:rFonts w:hint="default"/>
          <w:color w:val="auto"/>
          <w:lang w:val="en-US" w:eastAsia="zh-CN"/>
        </w:rPr>
        <w:t>按照整体规划、分批开发、政府引导、市场运作的原则</w:t>
      </w:r>
      <w:r>
        <w:rPr>
          <w:rFonts w:hint="eastAsia"/>
          <w:color w:val="auto"/>
          <w:lang w:val="en-US" w:eastAsia="zh-CN"/>
        </w:rPr>
        <w:t>，</w:t>
      </w:r>
      <w:r>
        <w:rPr>
          <w:rFonts w:hint="default"/>
          <w:color w:val="auto"/>
          <w:lang w:val="en-US" w:eastAsia="zh-CN"/>
        </w:rPr>
        <w:t>对园区及楼宇进行集约化的开发和运营</w:t>
      </w:r>
      <w:r>
        <w:rPr>
          <w:rFonts w:hint="eastAsia"/>
          <w:color w:val="auto"/>
          <w:lang w:val="en-US" w:eastAsia="zh-CN"/>
        </w:rPr>
        <w:t>，</w:t>
      </w:r>
      <w:r>
        <w:rPr>
          <w:rFonts w:hint="default"/>
          <w:color w:val="auto"/>
          <w:lang w:val="en-US" w:eastAsia="zh-CN"/>
        </w:rPr>
        <w:t>进一步盘活园区及楼宇资源</w:t>
      </w:r>
      <w:r>
        <w:rPr>
          <w:rFonts w:hint="eastAsia"/>
          <w:color w:val="auto"/>
          <w:lang w:val="en-US" w:eastAsia="zh-CN"/>
        </w:rPr>
        <w:t>，</w:t>
      </w:r>
      <w:r>
        <w:rPr>
          <w:rFonts w:hint="default"/>
          <w:color w:val="auto"/>
          <w:lang w:val="en-US" w:eastAsia="zh-CN"/>
        </w:rPr>
        <w:t>推动江西</w:t>
      </w:r>
      <w:r>
        <w:rPr>
          <w:rFonts w:hint="eastAsia"/>
          <w:color w:val="auto"/>
          <w:lang w:val="en-US" w:eastAsia="zh-CN"/>
        </w:rPr>
        <w:t>（国控）</w:t>
      </w:r>
      <w:r>
        <w:rPr>
          <w:rFonts w:hint="default"/>
          <w:color w:val="auto"/>
          <w:lang w:val="en-US" w:eastAsia="zh-CN"/>
        </w:rPr>
        <w:t>基金产业园、江西</w:t>
      </w:r>
      <w:r>
        <w:rPr>
          <w:rFonts w:hint="eastAsia"/>
          <w:color w:val="auto"/>
          <w:lang w:val="en-US" w:eastAsia="zh-CN"/>
        </w:rPr>
        <w:t>（金控）数字</w:t>
      </w:r>
      <w:r>
        <w:rPr>
          <w:rFonts w:hint="default"/>
          <w:color w:val="auto"/>
          <w:lang w:val="en-US" w:eastAsia="zh-CN"/>
        </w:rPr>
        <w:t>金融</w:t>
      </w:r>
      <w:r>
        <w:rPr>
          <w:rFonts w:hint="eastAsia"/>
          <w:color w:val="auto"/>
          <w:lang w:val="en-US" w:eastAsia="zh-CN"/>
        </w:rPr>
        <w:t>创新</w:t>
      </w:r>
      <w:r>
        <w:rPr>
          <w:rFonts w:hint="default"/>
          <w:color w:val="auto"/>
          <w:lang w:val="en-US" w:eastAsia="zh-CN"/>
        </w:rPr>
        <w:t>产业园高质量可持续发展。存量建设用地利用方面</w:t>
      </w:r>
      <w:r>
        <w:rPr>
          <w:rFonts w:hint="eastAsia"/>
          <w:color w:val="auto"/>
          <w:lang w:val="en-US" w:eastAsia="zh-CN"/>
        </w:rPr>
        <w:t>，</w:t>
      </w:r>
      <w:r>
        <w:rPr>
          <w:rFonts w:hint="default"/>
          <w:color w:val="auto"/>
          <w:lang w:val="en-US" w:eastAsia="zh-CN"/>
        </w:rPr>
        <w:t>积极引进大型金融机构</w:t>
      </w:r>
      <w:r>
        <w:rPr>
          <w:rFonts w:hint="eastAsia"/>
          <w:color w:val="auto"/>
          <w:lang w:val="en-US" w:eastAsia="zh-CN"/>
        </w:rPr>
        <w:t>，</w:t>
      </w:r>
      <w:r>
        <w:rPr>
          <w:rFonts w:hint="default"/>
          <w:color w:val="auto"/>
          <w:lang w:val="en-US" w:eastAsia="zh-CN"/>
        </w:rPr>
        <w:t>满足其自建办公场所需求</w:t>
      </w:r>
      <w:r>
        <w:rPr>
          <w:rFonts w:hint="eastAsia"/>
          <w:color w:val="auto"/>
          <w:lang w:val="en-US" w:eastAsia="zh-CN"/>
        </w:rPr>
        <w:t>，</w:t>
      </w:r>
      <w:r>
        <w:rPr>
          <w:rFonts w:hint="default"/>
          <w:color w:val="auto"/>
          <w:lang w:val="en-US" w:eastAsia="zh-CN"/>
        </w:rPr>
        <w:t>并带动关联产业入驻</w:t>
      </w:r>
      <w:r>
        <w:rPr>
          <w:rFonts w:hint="eastAsia"/>
          <w:color w:val="auto"/>
          <w:lang w:val="en-US" w:eastAsia="zh-CN"/>
        </w:rPr>
        <w:t>，</w:t>
      </w:r>
      <w:r>
        <w:rPr>
          <w:rFonts w:hint="default"/>
          <w:color w:val="auto"/>
          <w:lang w:val="en-US" w:eastAsia="zh-CN"/>
        </w:rPr>
        <w:t>快速形成金融产业集聚效应。</w:t>
      </w:r>
    </w:p>
    <w:p>
      <w:pPr>
        <w:pStyle w:val="21"/>
        <w:bidi w:val="0"/>
        <w:rPr>
          <w:rFonts w:hint="default"/>
          <w:color w:val="auto"/>
          <w:lang w:val="en-US" w:eastAsia="zh-CN"/>
        </w:rPr>
      </w:pPr>
      <w:r>
        <w:rPr>
          <w:rFonts w:hint="default" w:ascii="Times New Roman" w:hAnsi="Times New Roman" w:cs="Times New Roman"/>
          <w:b/>
          <w:bCs/>
          <w:color w:val="auto"/>
          <w:lang w:val="en-US" w:eastAsia="zh-CN"/>
        </w:rPr>
        <w:t>加快建设中部新兴区域金融中心</w:t>
      </w:r>
      <w:r>
        <w:rPr>
          <w:rFonts w:hint="eastAsia" w:cs="Times New Roman"/>
          <w:b/>
          <w:bCs/>
          <w:color w:val="auto"/>
          <w:lang w:val="en-US" w:eastAsia="zh-CN"/>
        </w:rPr>
        <w:t>。</w:t>
      </w:r>
      <w:r>
        <w:rPr>
          <w:rFonts w:hint="default"/>
          <w:color w:val="auto"/>
          <w:lang w:val="en-US" w:eastAsia="zh-CN"/>
        </w:rPr>
        <w:t>围绕打造</w:t>
      </w:r>
      <w:r>
        <w:rPr>
          <w:rFonts w:hint="eastAsia"/>
          <w:color w:val="auto"/>
          <w:lang w:val="en-US" w:eastAsia="zh-CN"/>
        </w:rPr>
        <w:t>“</w:t>
      </w:r>
      <w:r>
        <w:rPr>
          <w:rFonts w:hint="default"/>
          <w:color w:val="auto"/>
          <w:lang w:val="en-US" w:eastAsia="zh-CN"/>
        </w:rPr>
        <w:t>立足江西、对标沪深、面向全国、走向国际</w:t>
      </w:r>
      <w:r>
        <w:rPr>
          <w:rFonts w:hint="eastAsia"/>
          <w:color w:val="auto"/>
          <w:lang w:val="en-US" w:eastAsia="zh-CN"/>
        </w:rPr>
        <w:t>”</w:t>
      </w:r>
      <w:r>
        <w:rPr>
          <w:rFonts w:hint="default"/>
          <w:color w:val="auto"/>
          <w:lang w:val="en-US" w:eastAsia="zh-CN"/>
        </w:rPr>
        <w:t>的中部新兴区域金融中心</w:t>
      </w:r>
      <w:r>
        <w:rPr>
          <w:rFonts w:hint="eastAsia"/>
          <w:color w:val="auto"/>
          <w:lang w:val="en-US" w:eastAsia="zh-CN"/>
        </w:rPr>
        <w:t>，</w:t>
      </w:r>
      <w:r>
        <w:rPr>
          <w:rFonts w:hint="default"/>
          <w:color w:val="auto"/>
          <w:lang w:val="en-US" w:eastAsia="zh-CN"/>
        </w:rPr>
        <w:t>着力推进省域金融决策中心、区域要素市场中心、区域科技金融中心、中部数字金融中心建设</w:t>
      </w:r>
      <w:r>
        <w:rPr>
          <w:rFonts w:hint="eastAsia"/>
          <w:color w:val="auto"/>
          <w:lang w:val="en-US" w:eastAsia="zh-CN"/>
        </w:rPr>
        <w:t>，</w:t>
      </w:r>
      <w:r>
        <w:rPr>
          <w:rFonts w:hint="default"/>
          <w:color w:val="auto"/>
          <w:lang w:val="en-US" w:eastAsia="zh-CN"/>
        </w:rPr>
        <w:t>构建功能完善、业态丰富、创新活跃的现代金融产业体系。继续协调中央驻赣金融监管机构搬迁落户</w:t>
      </w:r>
      <w:r>
        <w:rPr>
          <w:rFonts w:hint="eastAsia"/>
          <w:color w:val="auto"/>
          <w:lang w:val="en-US" w:eastAsia="zh-CN"/>
        </w:rPr>
        <w:t>，</w:t>
      </w:r>
      <w:r>
        <w:rPr>
          <w:rFonts w:hint="default"/>
          <w:color w:val="auto"/>
          <w:lang w:val="en-US" w:eastAsia="zh-CN"/>
        </w:rPr>
        <w:t>加快推动平安金融中心、中盛金融中心等金融重大重点项目建设</w:t>
      </w:r>
      <w:r>
        <w:rPr>
          <w:rFonts w:hint="eastAsia"/>
          <w:color w:val="auto"/>
          <w:lang w:val="en-US" w:eastAsia="zh-CN"/>
        </w:rPr>
        <w:t>，</w:t>
      </w:r>
      <w:r>
        <w:rPr>
          <w:rFonts w:hint="default"/>
          <w:color w:val="auto"/>
          <w:lang w:val="en-US" w:eastAsia="zh-CN"/>
        </w:rPr>
        <w:t>大力吸引国内外知名金融机构在金融商务区内设立法人金融机构</w:t>
      </w:r>
      <w:r>
        <w:rPr>
          <w:rFonts w:hint="eastAsia"/>
          <w:color w:val="auto"/>
          <w:lang w:val="en-US" w:eastAsia="zh-CN"/>
        </w:rPr>
        <w:t>，</w:t>
      </w:r>
      <w:r>
        <w:rPr>
          <w:rFonts w:hint="default"/>
          <w:color w:val="auto"/>
          <w:lang w:val="en-US" w:eastAsia="zh-CN"/>
        </w:rPr>
        <w:t>积极引进或设立地方金融组织、金融中介服务机构</w:t>
      </w:r>
      <w:r>
        <w:rPr>
          <w:rFonts w:hint="eastAsia"/>
          <w:color w:val="auto"/>
          <w:lang w:val="en-US" w:eastAsia="zh-CN"/>
        </w:rPr>
        <w:t>，</w:t>
      </w:r>
      <w:r>
        <w:rPr>
          <w:rFonts w:hint="default"/>
          <w:color w:val="auto"/>
          <w:lang w:val="en-US" w:eastAsia="zh-CN"/>
        </w:rPr>
        <w:t>丰富金融业态和金融机构数量。进一步巩固区内金融机构总部集聚的优势</w:t>
      </w:r>
      <w:r>
        <w:rPr>
          <w:rFonts w:hint="eastAsia"/>
          <w:color w:val="auto"/>
          <w:lang w:val="en-US" w:eastAsia="zh-CN"/>
        </w:rPr>
        <w:t>，</w:t>
      </w:r>
      <w:r>
        <w:rPr>
          <w:rFonts w:hint="default"/>
          <w:color w:val="auto"/>
          <w:lang w:val="en-US" w:eastAsia="zh-CN"/>
        </w:rPr>
        <w:t>做大做强总部经济。吸引国内领先的大数据征信与风控、区块链金融、人工智能金融、数据存储、云计算等技术领先的金融科技公司总部入驻或设立区域总部</w:t>
      </w:r>
      <w:r>
        <w:rPr>
          <w:rFonts w:hint="eastAsia"/>
          <w:color w:val="auto"/>
          <w:lang w:val="en-US" w:eastAsia="zh-CN"/>
        </w:rPr>
        <w:t>，</w:t>
      </w:r>
      <w:r>
        <w:rPr>
          <w:rFonts w:hint="default"/>
          <w:color w:val="auto"/>
          <w:lang w:val="en-US" w:eastAsia="zh-CN"/>
        </w:rPr>
        <w:t>服务江西乃至中部地</w:t>
      </w:r>
      <w:r>
        <w:rPr>
          <w:rFonts w:hint="eastAsia"/>
          <w:color w:val="auto"/>
          <w:lang w:val="en-US" w:eastAsia="zh-CN"/>
        </w:rPr>
        <w:t>区。</w:t>
      </w:r>
    </w:p>
    <w:p>
      <w:pPr>
        <w:pStyle w:val="21"/>
        <w:keepNext w:val="0"/>
        <w:keepLines w:val="0"/>
        <w:pageBreakBefore w:val="0"/>
        <w:widowControl/>
        <w:numPr>
          <w:ilvl w:val="0"/>
          <w:numId w:val="0"/>
        </w:numPr>
        <w:kinsoku/>
        <w:wordWrap/>
        <w:overflowPunct/>
        <w:topLinePunct w:val="0"/>
        <w:autoSpaceDE/>
        <w:autoSpaceDN/>
        <w:bidi w:val="0"/>
        <w:adjustRightInd/>
        <w:snapToGrid/>
        <w:ind w:left="640" w:leftChars="200" w:firstLine="0" w:firstLineChars="0"/>
        <w:textAlignment w:val="auto"/>
        <w:outlineLvl w:val="3"/>
        <w:rPr>
          <w:rFonts w:hint="eastAsia"/>
          <w:b/>
          <w:bCs/>
          <w:color w:val="auto"/>
          <w:lang w:val="en-US" w:eastAsia="zh-CN"/>
        </w:rPr>
      </w:pPr>
      <w:r>
        <w:rPr>
          <w:rFonts w:hint="eastAsia"/>
          <w:b/>
          <w:bCs/>
          <w:color w:val="auto"/>
          <w:lang w:val="en-US" w:eastAsia="zh-CN"/>
        </w:rPr>
        <w:t>（4）推动商务及高技术服务集聚发展</w:t>
      </w:r>
    </w:p>
    <w:p>
      <w:pPr>
        <w:pStyle w:val="21"/>
        <w:rPr>
          <w:rFonts w:hint="eastAsia"/>
          <w:b/>
          <w:bCs/>
          <w:color w:val="auto"/>
          <w:lang w:val="en-US" w:eastAsia="zh-CN"/>
        </w:rPr>
      </w:pPr>
      <w:r>
        <w:rPr>
          <w:rFonts w:hint="default"/>
          <w:color w:val="auto"/>
          <w:lang w:val="en-US" w:eastAsia="zh-CN"/>
        </w:rPr>
        <w:t>顺应产业分工专业化与专业服务外部化趋势</w:t>
      </w:r>
      <w:r>
        <w:rPr>
          <w:rFonts w:hint="eastAsia"/>
          <w:color w:val="auto"/>
          <w:lang w:val="en-US" w:eastAsia="zh-CN"/>
        </w:rPr>
        <w:t>，</w:t>
      </w:r>
      <w:r>
        <w:rPr>
          <w:rFonts w:hint="default"/>
          <w:color w:val="auto"/>
          <w:lang w:val="en-US" w:eastAsia="zh-CN"/>
        </w:rPr>
        <w:t>以全省金融商务区为重点</w:t>
      </w:r>
      <w:r>
        <w:rPr>
          <w:rFonts w:hint="eastAsia"/>
          <w:color w:val="auto"/>
          <w:lang w:val="en-US" w:eastAsia="zh-CN"/>
        </w:rPr>
        <w:t>，</w:t>
      </w:r>
      <w:r>
        <w:rPr>
          <w:rFonts w:hint="default"/>
          <w:color w:val="auto"/>
          <w:lang w:val="en-US" w:eastAsia="zh-CN"/>
        </w:rPr>
        <w:t>发挥九龙湖、红角洲、凤凰洲等片区的联动作用</w:t>
      </w:r>
      <w:r>
        <w:rPr>
          <w:rFonts w:hint="eastAsia"/>
          <w:color w:val="auto"/>
          <w:lang w:val="en-US" w:eastAsia="zh-CN"/>
        </w:rPr>
        <w:t>，</w:t>
      </w:r>
      <w:r>
        <w:rPr>
          <w:rFonts w:hint="default"/>
          <w:color w:val="auto"/>
          <w:lang w:val="en-US" w:eastAsia="zh-CN"/>
        </w:rPr>
        <w:t>大力发展商务服务和高技术服务</w:t>
      </w:r>
      <w:r>
        <w:rPr>
          <w:rFonts w:hint="eastAsia"/>
          <w:color w:val="auto"/>
          <w:lang w:val="en-US" w:eastAsia="zh-CN"/>
        </w:rPr>
        <w:t>，</w:t>
      </w:r>
      <w:r>
        <w:rPr>
          <w:rFonts w:hint="default"/>
          <w:color w:val="auto"/>
          <w:lang w:val="en-US" w:eastAsia="zh-CN"/>
        </w:rPr>
        <w:t>打造全省最具标志性和影响力的专业服务集聚地。促进商务服务专业化集聚化发展</w:t>
      </w:r>
      <w:r>
        <w:rPr>
          <w:rFonts w:hint="eastAsia"/>
          <w:color w:val="auto"/>
          <w:lang w:val="en-US" w:eastAsia="zh-CN"/>
        </w:rPr>
        <w:t>，大力发展信息技术服务，着力发展研发设计服务，培育扶持科技创新服务，积极拓展服务外包业务，创新节能环保服务模式。</w:t>
      </w:r>
      <w:bookmarkStart w:id="256" w:name="_Toc30750"/>
    </w:p>
    <w:p>
      <w:pPr>
        <w:pStyle w:val="21"/>
        <w:numPr>
          <w:ilvl w:val="0"/>
          <w:numId w:val="0"/>
        </w:numPr>
        <w:tabs>
          <w:tab w:val="left" w:pos="0"/>
        </w:tabs>
        <w:bidi w:val="0"/>
        <w:ind w:leftChars="200" w:firstLine="0" w:firstLineChars="0"/>
        <w:outlineLvl w:val="3"/>
        <w:rPr>
          <w:rFonts w:hint="eastAsia"/>
          <w:b/>
          <w:bCs/>
          <w:color w:val="auto"/>
        </w:rPr>
      </w:pPr>
      <w:r>
        <w:rPr>
          <w:rFonts w:hint="eastAsia"/>
          <w:b/>
          <w:bCs/>
          <w:color w:val="auto"/>
          <w:lang w:val="en-US" w:eastAsia="zh-CN"/>
        </w:rPr>
        <w:t>（5）培育壮大文化产业</w:t>
      </w:r>
      <w:bookmarkEnd w:id="256"/>
      <w:r>
        <w:rPr>
          <w:rFonts w:hint="eastAsia"/>
          <w:b/>
          <w:bCs/>
          <w:color w:val="auto"/>
          <w:lang w:val="en-US" w:eastAsia="zh-CN"/>
        </w:rPr>
        <w:t xml:space="preserve"> </w:t>
      </w:r>
    </w:p>
    <w:p>
      <w:pPr>
        <w:pStyle w:val="21"/>
        <w:bidi w:val="0"/>
        <w:rPr>
          <w:color w:val="auto"/>
        </w:rPr>
      </w:pPr>
      <w:r>
        <w:rPr>
          <w:color w:val="auto"/>
          <w:lang w:val="en-US" w:eastAsia="zh-CN"/>
        </w:rPr>
        <w:t>加快文化资源的有效整合和开发利用</w:t>
      </w:r>
      <w:r>
        <w:rPr>
          <w:rFonts w:hint="eastAsia"/>
          <w:color w:val="auto"/>
          <w:lang w:val="en-US" w:eastAsia="zh-CN"/>
        </w:rPr>
        <w:t>，</w:t>
      </w:r>
      <w:r>
        <w:rPr>
          <w:color w:val="auto"/>
          <w:lang w:val="en-US" w:eastAsia="zh-CN"/>
        </w:rPr>
        <w:t>打造全省文化金融示范区、文化科技示范区</w:t>
      </w:r>
      <w:r>
        <w:rPr>
          <w:rFonts w:hint="eastAsia"/>
          <w:color w:val="auto"/>
          <w:lang w:val="en-US" w:eastAsia="zh-CN"/>
        </w:rPr>
        <w:t>，</w:t>
      </w:r>
      <w:r>
        <w:rPr>
          <w:color w:val="auto"/>
          <w:lang w:val="en-US" w:eastAsia="zh-CN"/>
        </w:rPr>
        <w:t>不断</w:t>
      </w:r>
      <w:r>
        <w:rPr>
          <w:rFonts w:hint="eastAsia"/>
          <w:color w:val="auto"/>
          <w:lang w:val="en-US" w:eastAsia="zh-CN"/>
        </w:rPr>
        <w:t xml:space="preserve">增强群众文化获得感。到2025年，全区文化产业增加值占GDP比重达到5%。 </w:t>
      </w:r>
    </w:p>
    <w:p>
      <w:pPr>
        <w:pStyle w:val="21"/>
        <w:bidi w:val="0"/>
        <w:rPr>
          <w:color w:val="auto"/>
        </w:rPr>
      </w:pPr>
      <w:r>
        <w:rPr>
          <w:rFonts w:hint="default"/>
          <w:b/>
          <w:bCs/>
          <w:color w:val="auto"/>
          <w:lang w:val="en-US" w:eastAsia="zh-CN"/>
        </w:rPr>
        <w:t>打造特色文化IP</w:t>
      </w:r>
      <w:r>
        <w:rPr>
          <w:rFonts w:hint="eastAsia"/>
          <w:b/>
          <w:bCs/>
          <w:color w:val="auto"/>
          <w:lang w:val="en-US" w:eastAsia="zh-CN"/>
        </w:rPr>
        <w:t>。</w:t>
      </w:r>
      <w:r>
        <w:rPr>
          <w:rFonts w:hint="eastAsia"/>
          <w:color w:val="auto"/>
          <w:lang w:val="en-US" w:eastAsia="zh-CN"/>
        </w:rPr>
        <w:t xml:space="preserve">依托江西省赣剧院新院，传承和弘扬中华优秀传统文化，努力打造成为江西一张靓丽的文化名片，不断提升城市文化品位。继续与中国话剧协会深化合作，共同主办全国优秀话剧新剧目展演季，擦亮“红谷戏剧”品牌，扩大品牌影响力。促进文化与旅游相融合，鼓励社会资本新建或改建剧场展馆、演艺空间、文化创意产业园、广告产业园等，推动文化产业化发展、高质量发展。推进保利大剧院建设，引入世界级文化演出，合力将南昌保利大剧院打造成国内领先的一流剧场。利用特色文化进行IP创作，并采取“科技+文化”的方式，进行文化资源数字化和创新转化，催生文化新业态。进一步深入探索文化和旅游资源融合发展路径，提高文化和旅游一体化管理服务水平。充分利用沿江景观带发展夜经济，依托一江两岸文化旅游资源，积极打造南昌夜赣江“秋水长天”文旅消费集聚区，把沿江景观带打造成为集夜游、夜购、夜娱、夜读的聚集片区，形成我区独特的文化IP。成立文化旅游协会，集合辖区内的文化旅游企业，以联动发展的理念，共谋产业振兴。 </w:t>
      </w:r>
    </w:p>
    <w:p>
      <w:pPr>
        <w:pStyle w:val="21"/>
        <w:bidi w:val="0"/>
        <w:rPr>
          <w:color w:val="auto"/>
        </w:rPr>
      </w:pPr>
      <w:r>
        <w:rPr>
          <w:rFonts w:hint="default"/>
          <w:b/>
          <w:bCs/>
          <w:color w:val="auto"/>
          <w:lang w:val="en-US" w:eastAsia="zh-CN"/>
        </w:rPr>
        <w:t>支持数字动漫产业发展</w:t>
      </w:r>
      <w:r>
        <w:rPr>
          <w:rFonts w:hint="eastAsia"/>
          <w:b/>
          <w:bCs/>
          <w:color w:val="auto"/>
          <w:lang w:val="en-US" w:eastAsia="zh-CN"/>
        </w:rPr>
        <w:t>。</w:t>
      </w:r>
      <w:r>
        <w:rPr>
          <w:rFonts w:hint="eastAsia"/>
          <w:color w:val="auto"/>
          <w:lang w:val="en-US" w:eastAsia="zh-CN"/>
        </w:rPr>
        <w:t xml:space="preserve">支持原创动漫平台建设，扶持优秀作品创作生产，加强移动终端动漫作品的开发推广。引导动漫产业与相关产业融合发展，拓展影视立体转制、虚拟现实等项目，延伸动漫产业链和价值链。支持研发具有传统文化特色和自主知识产权的网络游戏，推进多语言翻译等技术应用，支持原创游戏产品出口。加强网络游戏出版物内容审核监管平台建设，不断提升服务效能。支持举办高品质的电子竞技大赛，促进电竞比赛、交易、直播等网络游戏产业健康发展。 </w:t>
      </w:r>
    </w:p>
    <w:p>
      <w:pPr>
        <w:pStyle w:val="21"/>
        <w:bidi w:val="0"/>
        <w:rPr>
          <w:rFonts w:hint="eastAsia"/>
          <w:b/>
          <w:bCs/>
          <w:color w:val="auto"/>
          <w:lang w:val="en-US" w:eastAsia="zh-CN"/>
        </w:rPr>
      </w:pPr>
      <w:r>
        <w:rPr>
          <w:rFonts w:hint="default"/>
          <w:b/>
          <w:bCs/>
          <w:color w:val="auto"/>
          <w:lang w:val="en-US" w:eastAsia="zh-CN"/>
        </w:rPr>
        <w:t>推动新媒体产业发展</w:t>
      </w:r>
      <w:r>
        <w:rPr>
          <w:rFonts w:hint="eastAsia"/>
          <w:b/>
          <w:bCs/>
          <w:color w:val="auto"/>
          <w:lang w:val="en-US" w:eastAsia="zh-CN"/>
        </w:rPr>
        <w:t>。</w:t>
      </w:r>
      <w:r>
        <w:rPr>
          <w:rFonts w:hint="eastAsia"/>
          <w:color w:val="auto"/>
          <w:lang w:val="en-US" w:eastAsia="zh-CN"/>
        </w:rPr>
        <w:t>支持传统媒体转型升级，拓展网络和新媒体业务，发展网络文学、网络音乐、网络剧、网络电影等新业态，大力培育以数字化产品、网络化传播、个性化服务为核心的网络视听产业。充分运用数字传媒、移动互联等手段，构建立体、高效、覆盖面广、功能</w:t>
      </w:r>
      <w:r>
        <w:rPr>
          <w:color w:val="auto"/>
          <w:lang w:val="en-US" w:eastAsia="zh-CN"/>
        </w:rPr>
        <w:t>强大的传播网络。支持构建基于</w:t>
      </w:r>
      <w:r>
        <w:rPr>
          <w:rFonts w:hint="eastAsia"/>
          <w:color w:val="auto"/>
          <w:lang w:val="en-US" w:eastAsia="zh-CN"/>
        </w:rPr>
        <w:t>“</w:t>
      </w:r>
      <w:r>
        <w:rPr>
          <w:color w:val="auto"/>
          <w:lang w:val="en-US" w:eastAsia="zh-CN"/>
        </w:rPr>
        <w:t>三网融合</w:t>
      </w:r>
      <w:r>
        <w:rPr>
          <w:rFonts w:hint="eastAsia"/>
          <w:color w:val="auto"/>
          <w:lang w:val="en-US" w:eastAsia="zh-CN"/>
        </w:rPr>
        <w:t>”</w:t>
      </w:r>
      <w:r>
        <w:rPr>
          <w:color w:val="auto"/>
          <w:lang w:val="en-US" w:eastAsia="zh-CN"/>
        </w:rPr>
        <w:t>的</w:t>
      </w:r>
      <w:r>
        <w:rPr>
          <w:rFonts w:hint="eastAsia"/>
          <w:color w:val="auto"/>
          <w:lang w:val="en-US" w:eastAsia="zh-CN"/>
        </w:rPr>
        <w:t>“</w:t>
      </w:r>
      <w:r>
        <w:rPr>
          <w:color w:val="auto"/>
          <w:lang w:val="en-US" w:eastAsia="zh-CN"/>
        </w:rPr>
        <w:t>内容+平台+终端</w:t>
      </w:r>
      <w:r>
        <w:rPr>
          <w:rFonts w:hint="eastAsia"/>
          <w:color w:val="auto"/>
          <w:lang w:val="en-US" w:eastAsia="zh-CN"/>
        </w:rPr>
        <w:t>”</w:t>
      </w:r>
      <w:r>
        <w:rPr>
          <w:color w:val="auto"/>
          <w:lang w:val="en-US" w:eastAsia="zh-CN"/>
        </w:rPr>
        <w:t>的媒体传播链</w:t>
      </w:r>
      <w:r>
        <w:rPr>
          <w:rFonts w:hint="eastAsia"/>
          <w:color w:val="auto"/>
          <w:lang w:val="en-US" w:eastAsia="zh-CN"/>
        </w:rPr>
        <w:t>，</w:t>
      </w:r>
      <w:r>
        <w:rPr>
          <w:color w:val="auto"/>
          <w:lang w:val="en-US" w:eastAsia="zh-CN"/>
        </w:rPr>
        <w:t>推进报</w:t>
      </w:r>
      <w:r>
        <w:rPr>
          <w:rFonts w:hint="eastAsia"/>
          <w:color w:val="auto"/>
          <w:lang w:val="en-US" w:eastAsia="zh-CN"/>
        </w:rPr>
        <w:t xml:space="preserve">刊电台电视台网络互动融合、一体发展。打造江西无线增值业务中心，延伸发展影视制作、创意设计、出版印刷、动漫网游等产业。以江西省电视台、玖珑文化创意谷建设为依托，重视新媒体产业内部的融合，推动影视制作产业、设计创意产业等重点产业与数字技术融合发展。 </w:t>
      </w:r>
      <w:bookmarkEnd w:id="252"/>
      <w:bookmarkEnd w:id="253"/>
      <w:bookmarkStart w:id="257" w:name="_Toc29507"/>
      <w:bookmarkStart w:id="258" w:name="_Toc13895"/>
      <w:bookmarkStart w:id="259" w:name="_Toc11305"/>
      <w:r>
        <w:rPr>
          <w:rFonts w:hint="eastAsia"/>
          <w:b/>
          <w:bCs/>
          <w:color w:val="auto"/>
          <w:lang w:val="en-US" w:eastAsia="zh-CN"/>
        </w:rPr>
        <w:br w:type="page"/>
      </w:r>
    </w:p>
    <w:p>
      <w:pPr>
        <w:pStyle w:val="21"/>
        <w:keepNext w:val="0"/>
        <w:keepLines w:val="0"/>
        <w:pageBreakBefore w:val="0"/>
        <w:widowControl/>
        <w:numPr>
          <w:ilvl w:val="0"/>
          <w:numId w:val="0"/>
        </w:numPr>
        <w:kinsoku/>
        <w:wordWrap/>
        <w:overflowPunct/>
        <w:topLinePunct w:val="0"/>
        <w:autoSpaceDE/>
        <w:autoSpaceDN/>
        <w:bidi w:val="0"/>
        <w:adjustRightInd/>
        <w:snapToGrid/>
        <w:ind w:left="640" w:leftChars="200" w:firstLine="0" w:firstLineChars="0"/>
        <w:textAlignment w:val="auto"/>
        <w:outlineLvl w:val="3"/>
        <w:rPr>
          <w:rFonts w:hint="default" w:eastAsia="仿宋"/>
          <w:b/>
          <w:bCs/>
          <w:color w:val="auto"/>
          <w:lang w:val="en-US" w:eastAsia="zh-CN"/>
        </w:rPr>
      </w:pPr>
      <w:r>
        <w:rPr>
          <w:rFonts w:hint="eastAsia"/>
          <w:b/>
          <w:bCs/>
          <w:color w:val="auto"/>
          <w:lang w:val="en-US" w:eastAsia="zh-CN"/>
        </w:rPr>
        <w:t>（6）积极培育科技型企业</w:t>
      </w:r>
    </w:p>
    <w:p>
      <w:pPr>
        <w:pStyle w:val="21"/>
        <w:bidi w:val="0"/>
        <w:rPr>
          <w:rFonts w:hint="default"/>
          <w:color w:val="auto"/>
          <w:lang w:val="en-US" w:eastAsia="zh-CN"/>
        </w:rPr>
      </w:pPr>
      <w:r>
        <w:rPr>
          <w:b/>
          <w:bCs/>
          <w:color w:val="auto"/>
          <w:lang w:val="en-US" w:eastAsia="zh-CN"/>
        </w:rPr>
        <w:t>建立科技型企业梯次培育体系</w:t>
      </w:r>
      <w:r>
        <w:rPr>
          <w:rFonts w:hint="eastAsia"/>
          <w:b/>
          <w:bCs/>
          <w:color w:val="auto"/>
          <w:lang w:val="en-US" w:eastAsia="zh-CN"/>
        </w:rPr>
        <w:t>。</w:t>
      </w:r>
      <w:r>
        <w:rPr>
          <w:rFonts w:hint="default"/>
          <w:color w:val="auto"/>
          <w:lang w:val="en-US" w:eastAsia="zh-CN"/>
        </w:rPr>
        <w:t>按照</w:t>
      </w:r>
      <w:r>
        <w:rPr>
          <w:rFonts w:hint="eastAsia"/>
          <w:color w:val="auto"/>
          <w:lang w:val="en-US" w:eastAsia="zh-CN"/>
        </w:rPr>
        <w:t>“</w:t>
      </w:r>
      <w:r>
        <w:rPr>
          <w:rFonts w:hint="default"/>
          <w:color w:val="auto"/>
          <w:lang w:val="en-US" w:eastAsia="zh-CN"/>
        </w:rPr>
        <w:t>科技型中小企业-科技型高成长企业-高新技术企业-创新型领军企业</w:t>
      </w:r>
      <w:r>
        <w:rPr>
          <w:rFonts w:hint="eastAsia"/>
          <w:color w:val="auto"/>
          <w:lang w:val="en-US" w:eastAsia="zh-CN"/>
        </w:rPr>
        <w:t>”</w:t>
      </w:r>
      <w:r>
        <w:rPr>
          <w:rFonts w:hint="default"/>
          <w:color w:val="auto"/>
          <w:lang w:val="en-US" w:eastAsia="zh-CN"/>
        </w:rPr>
        <w:t>的梯次培育路径</w:t>
      </w:r>
      <w:r>
        <w:rPr>
          <w:rFonts w:hint="eastAsia"/>
          <w:color w:val="auto"/>
          <w:lang w:val="en-US" w:eastAsia="zh-CN"/>
        </w:rPr>
        <w:t>，</w:t>
      </w:r>
      <w:r>
        <w:rPr>
          <w:rFonts w:hint="default"/>
          <w:color w:val="auto"/>
          <w:lang w:val="en-US" w:eastAsia="zh-CN"/>
        </w:rPr>
        <w:t>持续加强高新技术企业培育</w:t>
      </w:r>
      <w:r>
        <w:rPr>
          <w:rFonts w:hint="eastAsia"/>
          <w:color w:val="auto"/>
          <w:lang w:val="en-US" w:eastAsia="zh-CN"/>
        </w:rPr>
        <w:t>，</w:t>
      </w:r>
      <w:r>
        <w:rPr>
          <w:rFonts w:hint="default"/>
          <w:color w:val="auto"/>
          <w:lang w:val="en-US" w:eastAsia="zh-CN"/>
        </w:rPr>
        <w:t>打造一批</w:t>
      </w:r>
      <w:r>
        <w:rPr>
          <w:rFonts w:hint="eastAsia"/>
          <w:color w:val="auto"/>
          <w:lang w:val="en-US" w:eastAsia="zh-CN"/>
        </w:rPr>
        <w:t>“</w:t>
      </w:r>
      <w:r>
        <w:rPr>
          <w:rFonts w:hint="default"/>
          <w:color w:val="auto"/>
          <w:lang w:val="en-US" w:eastAsia="zh-CN"/>
        </w:rPr>
        <w:t>规模大、实力强、发展稳、后劲足</w:t>
      </w:r>
      <w:r>
        <w:rPr>
          <w:rFonts w:hint="eastAsia"/>
          <w:color w:val="auto"/>
          <w:lang w:val="en-US" w:eastAsia="zh-CN"/>
        </w:rPr>
        <w:t>”</w:t>
      </w:r>
      <w:r>
        <w:rPr>
          <w:rFonts w:hint="default"/>
          <w:color w:val="auto"/>
          <w:lang w:val="en-US" w:eastAsia="zh-CN"/>
        </w:rPr>
        <w:t>的高新技术企业。发挥科技企业孵化器、众创空间等载体的作用</w:t>
      </w:r>
      <w:r>
        <w:rPr>
          <w:rFonts w:hint="eastAsia"/>
          <w:color w:val="auto"/>
          <w:lang w:val="en-US" w:eastAsia="zh-CN"/>
        </w:rPr>
        <w:t>，</w:t>
      </w:r>
      <w:r>
        <w:rPr>
          <w:rFonts w:hint="default"/>
          <w:color w:val="auto"/>
          <w:lang w:val="en-US" w:eastAsia="zh-CN"/>
        </w:rPr>
        <w:t>孵化和培育一批科技型中小企业。鼓励高校、科研院所和企业等主体通过科技成果转移转化</w:t>
      </w:r>
      <w:r>
        <w:rPr>
          <w:rFonts w:hint="eastAsia"/>
          <w:color w:val="auto"/>
          <w:lang w:val="en-US" w:eastAsia="zh-CN"/>
        </w:rPr>
        <w:t>，</w:t>
      </w:r>
      <w:r>
        <w:rPr>
          <w:rFonts w:hint="default"/>
          <w:color w:val="auto"/>
          <w:lang w:val="en-US" w:eastAsia="zh-CN"/>
        </w:rPr>
        <w:t>参与创办科技型中小企业。建立高新技术企业培育库</w:t>
      </w:r>
      <w:r>
        <w:rPr>
          <w:rFonts w:hint="eastAsia"/>
          <w:color w:val="auto"/>
          <w:lang w:val="en-US" w:eastAsia="zh-CN"/>
        </w:rPr>
        <w:t>，</w:t>
      </w:r>
      <w:r>
        <w:rPr>
          <w:rFonts w:hint="default"/>
          <w:color w:val="auto"/>
          <w:lang w:val="en-US" w:eastAsia="zh-CN"/>
        </w:rPr>
        <w:t>吸引省外高新技术企业落户</w:t>
      </w:r>
      <w:r>
        <w:rPr>
          <w:rFonts w:hint="eastAsia"/>
          <w:color w:val="auto"/>
          <w:lang w:val="en-US" w:eastAsia="zh-CN"/>
        </w:rPr>
        <w:t>红谷滩区，</w:t>
      </w:r>
      <w:r>
        <w:rPr>
          <w:rFonts w:hint="default"/>
          <w:color w:val="auto"/>
          <w:lang w:val="en-US" w:eastAsia="zh-CN"/>
        </w:rPr>
        <w:t>加快壮大高新技术企业队伍。加大对高新技术企业的创新支持力度</w:t>
      </w:r>
      <w:r>
        <w:rPr>
          <w:rFonts w:hint="eastAsia"/>
          <w:color w:val="auto"/>
          <w:lang w:val="en-US" w:eastAsia="zh-CN"/>
        </w:rPr>
        <w:t>，</w:t>
      </w:r>
      <w:r>
        <w:rPr>
          <w:rFonts w:hint="default"/>
          <w:color w:val="auto"/>
          <w:lang w:val="en-US" w:eastAsia="zh-CN"/>
        </w:rPr>
        <w:t>在项目用地、科技研发项目申报、研发补贴、科技金融等方面给予重点支持。建立高成长型高新技术企业信息库</w:t>
      </w:r>
      <w:r>
        <w:rPr>
          <w:rFonts w:hint="eastAsia"/>
          <w:color w:val="auto"/>
          <w:lang w:val="en-US" w:eastAsia="zh-CN"/>
        </w:rPr>
        <w:t>，</w:t>
      </w:r>
      <w:r>
        <w:rPr>
          <w:rFonts w:hint="default"/>
          <w:color w:val="auto"/>
          <w:lang w:val="en-US" w:eastAsia="zh-CN"/>
        </w:rPr>
        <w:t>采取</w:t>
      </w:r>
      <w:r>
        <w:rPr>
          <w:rFonts w:hint="eastAsia"/>
          <w:color w:val="auto"/>
          <w:lang w:val="en-US" w:eastAsia="zh-CN"/>
        </w:rPr>
        <w:t>“</w:t>
      </w:r>
      <w:r>
        <w:rPr>
          <w:rFonts w:hint="default"/>
          <w:color w:val="auto"/>
          <w:lang w:val="en-US" w:eastAsia="zh-CN"/>
        </w:rPr>
        <w:t>一企一策</w:t>
      </w:r>
      <w:r>
        <w:rPr>
          <w:rFonts w:hint="eastAsia"/>
          <w:color w:val="auto"/>
          <w:lang w:val="en-US" w:eastAsia="zh-CN"/>
        </w:rPr>
        <w:t>”</w:t>
      </w:r>
      <w:r>
        <w:rPr>
          <w:rFonts w:hint="default"/>
          <w:color w:val="auto"/>
          <w:lang w:val="en-US" w:eastAsia="zh-CN"/>
        </w:rPr>
        <w:t>的方式</w:t>
      </w:r>
      <w:r>
        <w:rPr>
          <w:rFonts w:hint="eastAsia"/>
          <w:color w:val="auto"/>
          <w:lang w:val="en-US" w:eastAsia="zh-CN"/>
        </w:rPr>
        <w:t>，</w:t>
      </w:r>
      <w:r>
        <w:rPr>
          <w:rFonts w:hint="default"/>
          <w:color w:val="auto"/>
          <w:lang w:val="en-US" w:eastAsia="zh-CN"/>
        </w:rPr>
        <w:t>推动人才、成果、社会资本等向企业集聚</w:t>
      </w:r>
      <w:r>
        <w:rPr>
          <w:rFonts w:hint="eastAsia"/>
          <w:color w:val="auto"/>
          <w:lang w:val="en-US" w:eastAsia="zh-CN"/>
        </w:rPr>
        <w:t>，</w:t>
      </w:r>
      <w:r>
        <w:rPr>
          <w:rFonts w:hint="default"/>
          <w:color w:val="auto"/>
          <w:lang w:val="en-US" w:eastAsia="zh-CN"/>
        </w:rPr>
        <w:t>支持其融入全球创新网络</w:t>
      </w:r>
      <w:r>
        <w:rPr>
          <w:rFonts w:hint="eastAsia"/>
          <w:color w:val="auto"/>
          <w:lang w:val="en-US" w:eastAsia="zh-CN"/>
        </w:rPr>
        <w:t>，</w:t>
      </w:r>
      <w:r>
        <w:rPr>
          <w:rFonts w:hint="default"/>
          <w:color w:val="auto"/>
          <w:lang w:val="en-US" w:eastAsia="zh-CN"/>
        </w:rPr>
        <w:t>加速成为具有产业创新引领能力和国际竞争力的创新型领军企业</w:t>
      </w:r>
      <w:r>
        <w:rPr>
          <w:rFonts w:hint="eastAsia"/>
          <w:color w:val="auto"/>
          <w:lang w:val="en-US" w:eastAsia="zh-CN"/>
        </w:rPr>
        <w:t>，</w:t>
      </w:r>
      <w:r>
        <w:rPr>
          <w:rFonts w:hint="default"/>
          <w:color w:val="auto"/>
          <w:lang w:val="en-US" w:eastAsia="zh-CN"/>
        </w:rPr>
        <w:t>在创新发展上发挥示范作用。</w:t>
      </w:r>
    </w:p>
    <w:p>
      <w:pPr>
        <w:pStyle w:val="21"/>
        <w:bidi w:val="0"/>
        <w:rPr>
          <w:rFonts w:hint="default"/>
          <w:color w:val="auto"/>
          <w:lang w:val="en-US" w:eastAsia="zh-CN"/>
        </w:rPr>
      </w:pPr>
      <w:r>
        <w:rPr>
          <w:rFonts w:hint="default"/>
          <w:b/>
          <w:bCs/>
          <w:color w:val="auto"/>
          <w:lang w:val="en-US" w:eastAsia="zh-CN"/>
        </w:rPr>
        <w:t>着力推动企业研发创新平台建设</w:t>
      </w:r>
      <w:r>
        <w:rPr>
          <w:rFonts w:hint="eastAsia"/>
          <w:b/>
          <w:bCs/>
          <w:color w:val="auto"/>
          <w:lang w:val="en-US" w:eastAsia="zh-CN"/>
        </w:rPr>
        <w:t>。</w:t>
      </w:r>
      <w:r>
        <w:rPr>
          <w:rFonts w:hint="default"/>
          <w:color w:val="auto"/>
          <w:lang w:val="en-US" w:eastAsia="zh-CN"/>
        </w:rPr>
        <w:t>整合发展资源</w:t>
      </w:r>
      <w:r>
        <w:rPr>
          <w:rFonts w:hint="eastAsia"/>
          <w:color w:val="auto"/>
          <w:lang w:val="en-US" w:eastAsia="zh-CN"/>
        </w:rPr>
        <w:t>，</w:t>
      </w:r>
      <w:r>
        <w:rPr>
          <w:rFonts w:hint="default"/>
          <w:color w:val="auto"/>
          <w:lang w:val="en-US" w:eastAsia="zh-CN"/>
        </w:rPr>
        <w:t>构建国家级创新产业集群地产业加速平台。强化企业创新主体地位</w:t>
      </w:r>
      <w:r>
        <w:rPr>
          <w:rFonts w:hint="eastAsia"/>
          <w:color w:val="auto"/>
          <w:lang w:val="en-US" w:eastAsia="zh-CN"/>
        </w:rPr>
        <w:t>，</w:t>
      </w:r>
      <w:r>
        <w:rPr>
          <w:rFonts w:hint="default"/>
          <w:color w:val="auto"/>
          <w:lang w:val="en-US" w:eastAsia="zh-CN"/>
        </w:rPr>
        <w:t>支持企业独立或与高校院校、科研院所共建重点实验室、工程研究中心、技术创新中心、制造业创新中心、企业技术中心</w:t>
      </w:r>
      <w:r>
        <w:rPr>
          <w:rFonts w:hint="eastAsia"/>
          <w:color w:val="auto"/>
          <w:lang w:val="en-US" w:eastAsia="zh-CN"/>
        </w:rPr>
        <w:t>，</w:t>
      </w:r>
      <w:r>
        <w:rPr>
          <w:rFonts w:hint="default"/>
          <w:color w:val="auto"/>
          <w:lang w:val="en-US" w:eastAsia="zh-CN"/>
        </w:rPr>
        <w:t>鼓励企业建立院士工作站、博士后流动站等。积极对接</w:t>
      </w:r>
      <w:r>
        <w:rPr>
          <w:rFonts w:hint="eastAsia"/>
          <w:color w:val="auto"/>
          <w:lang w:val="en-US" w:eastAsia="zh-CN"/>
        </w:rPr>
        <w:t>“</w:t>
      </w:r>
      <w:r>
        <w:rPr>
          <w:rFonts w:hint="default"/>
          <w:color w:val="auto"/>
          <w:lang w:val="en-US" w:eastAsia="zh-CN"/>
        </w:rPr>
        <w:t>双一流</w:t>
      </w:r>
      <w:r>
        <w:rPr>
          <w:rFonts w:hint="eastAsia"/>
          <w:color w:val="auto"/>
          <w:lang w:val="en-US" w:eastAsia="zh-CN"/>
        </w:rPr>
        <w:t>”</w:t>
      </w:r>
      <w:r>
        <w:rPr>
          <w:rFonts w:hint="default"/>
          <w:color w:val="auto"/>
          <w:lang w:val="en-US" w:eastAsia="zh-CN"/>
        </w:rPr>
        <w:t>高校、央企所属研究机构</w:t>
      </w:r>
      <w:r>
        <w:rPr>
          <w:rFonts w:hint="eastAsia"/>
          <w:color w:val="auto"/>
          <w:lang w:val="en-US" w:eastAsia="zh-CN"/>
        </w:rPr>
        <w:t>，</w:t>
      </w:r>
      <w:r>
        <w:rPr>
          <w:rFonts w:hint="default"/>
          <w:color w:val="auto"/>
          <w:lang w:val="en-US" w:eastAsia="zh-CN"/>
        </w:rPr>
        <w:t>支持其在</w:t>
      </w:r>
      <w:r>
        <w:rPr>
          <w:rFonts w:hint="eastAsia"/>
          <w:color w:val="auto"/>
          <w:lang w:val="en-US" w:eastAsia="zh-CN"/>
        </w:rPr>
        <w:t>红谷滩区</w:t>
      </w:r>
      <w:r>
        <w:rPr>
          <w:rFonts w:hint="default"/>
          <w:color w:val="auto"/>
          <w:lang w:val="en-US" w:eastAsia="zh-CN"/>
        </w:rPr>
        <w:t>设立分支机构或共建新型高端研发平台</w:t>
      </w:r>
      <w:r>
        <w:rPr>
          <w:rFonts w:hint="eastAsia"/>
          <w:color w:val="auto"/>
          <w:lang w:val="en-US" w:eastAsia="zh-CN"/>
        </w:rPr>
        <w:t>，</w:t>
      </w:r>
      <w:r>
        <w:rPr>
          <w:rFonts w:hint="default"/>
          <w:color w:val="auto"/>
          <w:lang w:val="en-US" w:eastAsia="zh-CN"/>
        </w:rPr>
        <w:t>吸引中央直属企业、中国百强企业迁入研发总部或在</w:t>
      </w:r>
      <w:r>
        <w:rPr>
          <w:rFonts w:hint="eastAsia"/>
          <w:color w:val="auto"/>
          <w:lang w:val="en-US" w:eastAsia="zh-CN"/>
        </w:rPr>
        <w:t>红谷滩区</w:t>
      </w:r>
      <w:r>
        <w:rPr>
          <w:rFonts w:hint="default"/>
          <w:color w:val="auto"/>
          <w:lang w:val="en-US" w:eastAsia="zh-CN"/>
        </w:rPr>
        <w:t>设立研发分中心。鼓励大型骨干或创新龙头企业牵头</w:t>
      </w:r>
      <w:r>
        <w:rPr>
          <w:rFonts w:hint="eastAsia"/>
          <w:color w:val="auto"/>
          <w:lang w:val="en-US" w:eastAsia="zh-CN"/>
        </w:rPr>
        <w:t>，</w:t>
      </w:r>
      <w:r>
        <w:rPr>
          <w:rFonts w:hint="default"/>
          <w:color w:val="auto"/>
          <w:lang w:val="en-US" w:eastAsia="zh-CN"/>
        </w:rPr>
        <w:t>联合高校、科研机构和社会团体</w:t>
      </w:r>
      <w:r>
        <w:rPr>
          <w:rFonts w:hint="eastAsia"/>
          <w:color w:val="auto"/>
          <w:lang w:val="en-US" w:eastAsia="zh-CN"/>
        </w:rPr>
        <w:t>，</w:t>
      </w:r>
      <w:r>
        <w:rPr>
          <w:rFonts w:hint="default"/>
          <w:color w:val="auto"/>
          <w:lang w:val="en-US" w:eastAsia="zh-CN"/>
        </w:rPr>
        <w:t>设立产业技术研究院</w:t>
      </w:r>
      <w:r>
        <w:rPr>
          <w:rFonts w:hint="eastAsia"/>
          <w:color w:val="auto"/>
          <w:lang w:val="en-US" w:eastAsia="zh-CN"/>
        </w:rPr>
        <w:t>，</w:t>
      </w:r>
      <w:r>
        <w:rPr>
          <w:rFonts w:hint="default"/>
          <w:color w:val="auto"/>
          <w:lang w:val="en-US" w:eastAsia="zh-CN"/>
        </w:rPr>
        <w:t>或将内设工程研究中心、重点实验室等独立运营</w:t>
      </w:r>
      <w:r>
        <w:rPr>
          <w:rFonts w:hint="eastAsia"/>
          <w:color w:val="auto"/>
          <w:lang w:val="en-US" w:eastAsia="zh-CN"/>
        </w:rPr>
        <w:t>，</w:t>
      </w:r>
      <w:r>
        <w:rPr>
          <w:rFonts w:hint="default"/>
          <w:color w:val="auto"/>
          <w:lang w:val="en-US" w:eastAsia="zh-CN"/>
        </w:rPr>
        <w:t>面向产业开展共性关键技术研发和产业化服务。</w:t>
      </w:r>
    </w:p>
    <w:p>
      <w:pPr>
        <w:pStyle w:val="28"/>
        <w:keepNext w:val="0"/>
        <w:keepLines w:val="0"/>
        <w:pageBreakBefore w:val="0"/>
        <w:widowControl/>
        <w:numPr>
          <w:ilvl w:val="0"/>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260" w:name="_Toc9774"/>
      <w:r>
        <w:rPr>
          <w:rFonts w:hint="eastAsia" w:cs="Times New Roman"/>
          <w:color w:val="auto"/>
          <w:lang w:val="en-US" w:eastAsia="zh-CN"/>
        </w:rPr>
        <w:t>3</w:t>
      </w:r>
      <w:r>
        <w:rPr>
          <w:rFonts w:hint="eastAsia" w:ascii="Times New Roman" w:hAnsi="Times New Roman" w:cs="Times New Roman"/>
          <w:color w:val="auto"/>
          <w:lang w:val="en-US" w:eastAsia="zh-CN"/>
        </w:rPr>
        <w:t>.发展大都市现代农业</w:t>
      </w:r>
      <w:bookmarkEnd w:id="257"/>
      <w:bookmarkEnd w:id="258"/>
      <w:bookmarkEnd w:id="259"/>
      <w:bookmarkEnd w:id="260"/>
    </w:p>
    <w:p>
      <w:pPr>
        <w:pStyle w:val="21"/>
        <w:bidi w:val="0"/>
        <w:rPr>
          <w:rFonts w:hint="eastAsia"/>
          <w:color w:val="auto"/>
          <w:lang w:val="en-US" w:eastAsia="zh-CN"/>
        </w:rPr>
      </w:pPr>
      <w:r>
        <w:rPr>
          <w:rFonts w:hint="eastAsia"/>
          <w:color w:val="auto"/>
          <w:lang w:val="en-US" w:eastAsia="zh-CN"/>
        </w:rPr>
        <w:t>以大都市现代农业为战略方向，加快构建现代农业经营体系，突出抓好农业产业化龙头企业、农民合作社和家庭农场等经营主体发展，支持家庭农场组建农民合作社，发展农业产业化联合体。着力推动粮食稳产增效，大力发展高效种养业，打造蔬菜、特色水果等高效经济作物标准示范园。</w:t>
      </w:r>
    </w:p>
    <w:p>
      <w:pPr>
        <w:pStyle w:val="21"/>
        <w:bidi w:val="0"/>
        <w:rPr>
          <w:rFonts w:hint="eastAsia"/>
          <w:color w:val="auto"/>
          <w:lang w:val="en-US" w:eastAsia="zh-CN"/>
        </w:rPr>
      </w:pPr>
      <w:r>
        <w:rPr>
          <w:rFonts w:hint="eastAsia"/>
          <w:color w:val="auto"/>
          <w:lang w:val="en-US" w:eastAsia="zh-CN"/>
        </w:rPr>
        <w:t>结合生米茶叶产品区域布局及生米“藠头之乡”金字招牌发展实际，高点定位，适度超前编制园区建设规划，整合项目资金，集中扶持建设。以流湖镇为载体，多家农业公司为实施主体，加快构建标准原料基地、集约加工转化、网络服务体系、紧密利益联结的产业集群为目标，打造主业强、百业兴、宜居宜业的乡村产业发展高地。充分发掘厚田乡林业资源，探索发展林下养殖、种植等林下经济；要做精做特现有的肉牛养殖、蛋鸭养殖、无花果种植、蔬菜种植、瓜蒌籽种植等特色种、养殖农业产业，扩大产业规模、优化产业结构、提高产品质量，加快传统农业向农业现代化迈进。</w:t>
      </w:r>
      <w:r>
        <w:rPr>
          <w:color w:val="auto"/>
        </w:rPr>
        <w:t>以休闲农业生产基地、生物资源、田园环境、休闲农庄、特色村落等为依托，开展农事体验、农耕展示、农家餐饮、蔬果采摘等休闲农业活动，打造一批特色田园综合体、休闲农庄、特色农业观光园等休闲农业与乡村旅游精品工程。</w:t>
      </w:r>
    </w:p>
    <w:p>
      <w:pPr>
        <w:pStyle w:val="21"/>
        <w:bidi w:val="0"/>
        <w:rPr>
          <w:rFonts w:hint="eastAsia"/>
          <w:color w:val="auto"/>
          <w:lang w:val="en-US" w:eastAsia="zh-CN"/>
        </w:rPr>
      </w:pPr>
      <w:r>
        <w:rPr>
          <w:rFonts w:hint="eastAsia"/>
          <w:color w:val="auto"/>
          <w:lang w:val="en-US" w:eastAsia="zh-CN"/>
        </w:rPr>
        <w:t>大力推动龙头企业与高校之间的合作，研究农业生产技术，提高农业生产技术含量，塑造一批有影响力和红谷滩区特色的农业品牌。持续推动红谷滩区元宇宙·VR数字农业示范基地及江西农业大学、江西省农业科学院等合作共建，支持种业企业参与联合攻关，开发研究农业种业，加强水稻、蔬菜、水产、畜禽等种植养殖品种、技术的研发、示范和推广。</w:t>
      </w:r>
    </w:p>
    <w:p>
      <w:pPr>
        <w:pStyle w:val="21"/>
        <w:bidi w:val="0"/>
        <w:rPr>
          <w:color w:val="auto"/>
          <w:lang w:val="en-US" w:eastAsia="zh-CN"/>
        </w:rPr>
      </w:pPr>
      <w:r>
        <w:rPr>
          <w:rFonts w:hint="eastAsia"/>
          <w:color w:val="auto"/>
          <w:lang w:val="en-US" w:eastAsia="zh-CN"/>
        </w:rPr>
        <w:t>到2025年，基本建成与红谷滩大都市相配套，人与自然和谐发展，以市场化、规模化、产业化、科技化、信息化为主要标志，集经济、社会、生态效益于一体的都市现代农业体系。</w:t>
      </w:r>
    </w:p>
    <w:p>
      <w:pPr>
        <w:pStyle w:val="28"/>
        <w:keepNext w:val="0"/>
        <w:keepLines w:val="0"/>
        <w:pageBreakBefore w:val="0"/>
        <w:widowControl/>
        <w:numPr>
          <w:ilvl w:val="0"/>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261" w:name="_Toc29981"/>
      <w:bookmarkStart w:id="262" w:name="_Toc10840"/>
      <w:bookmarkStart w:id="263" w:name="_Toc12128"/>
      <w:bookmarkStart w:id="264" w:name="_Toc11505"/>
      <w:r>
        <w:rPr>
          <w:rFonts w:hint="eastAsia" w:cs="Times New Roman"/>
          <w:color w:val="auto"/>
          <w:lang w:val="en-US" w:eastAsia="zh-CN"/>
        </w:rPr>
        <w:t>4.</w:t>
      </w:r>
      <w:r>
        <w:rPr>
          <w:rFonts w:hint="eastAsia" w:ascii="Times New Roman" w:hAnsi="Times New Roman" w:cs="Times New Roman"/>
          <w:color w:val="auto"/>
          <w:lang w:val="en-US" w:eastAsia="zh-CN"/>
        </w:rPr>
        <w:t>构建绿色低碳能源体系</w:t>
      </w:r>
      <w:bookmarkEnd w:id="261"/>
      <w:bookmarkEnd w:id="262"/>
      <w:bookmarkEnd w:id="263"/>
      <w:bookmarkEnd w:id="264"/>
    </w:p>
    <w:p>
      <w:pPr>
        <w:pStyle w:val="21"/>
        <w:bidi w:val="0"/>
        <w:rPr>
          <w:rStyle w:val="22"/>
          <w:rFonts w:hint="eastAsia"/>
          <w:color w:val="auto"/>
          <w:lang w:val="en-US" w:eastAsia="zh-CN"/>
        </w:rPr>
      </w:pPr>
      <w:r>
        <w:rPr>
          <w:rStyle w:val="22"/>
          <w:color w:val="auto"/>
          <w:lang w:val="en-US" w:eastAsia="zh-CN"/>
        </w:rPr>
        <w:t>健全智能清洁安全的能源供应体系。完善电力传输网络。以增强电网供电能力、提高电</w:t>
      </w:r>
      <w:r>
        <w:rPr>
          <w:rStyle w:val="22"/>
          <w:rFonts w:hint="eastAsia"/>
          <w:color w:val="auto"/>
          <w:lang w:val="en-US" w:eastAsia="zh-CN"/>
        </w:rPr>
        <w:t>网的可靠性和安全性为目标，配合推进昌西南500千伏输变电工程，在九龙湖220千伏输变电工程的基础上，争取再分别建设1个220千伏和110千伏输变电工程，新建或改造一批35千伏变电站；继续推进智能电网改造，全面建设网架坚强、设备可靠、智能高效、技术领先的现代配电网；全面实施乡村电气化提升工程，加快完成新一轮农村电网改造，持续提高农村用电保障能力。</w:t>
      </w:r>
    </w:p>
    <w:p>
      <w:pPr>
        <w:pStyle w:val="21"/>
        <w:bidi w:val="0"/>
        <w:rPr>
          <w:rStyle w:val="22"/>
          <w:rFonts w:hint="eastAsia"/>
          <w:color w:val="auto"/>
          <w:lang w:val="en-US" w:eastAsia="zh-CN"/>
        </w:rPr>
      </w:pPr>
      <w:r>
        <w:rPr>
          <w:rStyle w:val="22"/>
          <w:rFonts w:hint="eastAsia"/>
          <w:color w:val="auto"/>
          <w:lang w:val="en-US" w:eastAsia="zh-CN"/>
        </w:rPr>
        <w:t>推动能源清洁健康发展。鼓励发展商住楼、医院、学校等屋顶光伏发电项目，稳妥发展渔光一体发电项目建设。进一步梳理完善区属公共机构建筑、区属平台公司园区工业厂房屋顶资源情况，形成细致全面清单，及时跟踪屋顶资源利用情况；加快推进已签约的光伏屋顶开发建设情况，同时对未来科学城新开发建设园区积极推进光伏开发的；强化安全意识，切实履行监管职责，加大对已建成光伏项目的使用安全监管力度，确保光伏项目安全平稳运行。</w:t>
      </w:r>
    </w:p>
    <w:p>
      <w:pPr>
        <w:pStyle w:val="21"/>
        <w:rPr>
          <w:rFonts w:hint="eastAsia" w:cs="Times New Roman"/>
          <w:color w:val="auto"/>
          <w:lang w:val="en-US" w:eastAsia="zh-CN"/>
        </w:rPr>
      </w:pPr>
      <w:r>
        <w:rPr>
          <w:rStyle w:val="22"/>
          <w:rFonts w:hint="eastAsia"/>
          <w:color w:val="auto"/>
          <w:lang w:val="en-US" w:eastAsia="zh-CN"/>
        </w:rPr>
        <w:t>加强天然气管网建设。策应西气东输二线入昌对接工程以及川气东送天然气管道增压扩能工程，优化完善天然气管网，全面提高天然气供应保障能力；稳步推进中心城区天然气管网向生米街道延伸，提高管道燃气气化率比例和乡镇燃气普及率，形成覆盖全区的供应网络；统筹建设区域性供气储气设施，提高冬季高峰用气的保障能力。积极开发新能源和可再生能源。推进充电网络和储能网络建设，实现对储能设备和充电桩设施的标准化、网络化、智能化管理；积极推进氢能开发利用，支持建立新型能源市场交易和运营平台，大力发展绿色能源交易。</w:t>
      </w:r>
      <w:bookmarkStart w:id="265" w:name="_Toc1312"/>
      <w:bookmarkStart w:id="266" w:name="_Toc5433"/>
      <w:bookmarkStart w:id="267" w:name="_Toc26545"/>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268" w:name="_Toc10329"/>
      <w:r>
        <w:rPr>
          <w:rFonts w:hint="eastAsia" w:cs="Times New Roman"/>
          <w:color w:val="auto"/>
          <w:lang w:val="en-US" w:eastAsia="zh-CN"/>
        </w:rPr>
        <w:t>5</w:t>
      </w:r>
      <w:r>
        <w:rPr>
          <w:rFonts w:hint="eastAsia" w:ascii="Times New Roman" w:hAnsi="Times New Roman" w:cs="Times New Roman"/>
          <w:color w:val="auto"/>
          <w:lang w:val="en-US" w:eastAsia="zh-CN"/>
        </w:rPr>
        <w:t>.推进行业清洁化生产</w:t>
      </w:r>
      <w:bookmarkEnd w:id="265"/>
      <w:bookmarkEnd w:id="266"/>
      <w:bookmarkEnd w:id="267"/>
      <w:bookmarkEnd w:id="268"/>
    </w:p>
    <w:p>
      <w:pPr>
        <w:pStyle w:val="21"/>
        <w:bidi w:val="0"/>
        <w:rPr>
          <w:rFonts w:hint="default"/>
          <w:color w:val="auto"/>
          <w:lang w:val="en-US" w:eastAsia="zh-CN"/>
        </w:rPr>
      </w:pPr>
      <w:r>
        <w:rPr>
          <w:rFonts w:hint="default"/>
          <w:color w:val="auto"/>
          <w:lang w:val="en-US" w:eastAsia="zh-CN"/>
        </w:rPr>
        <w:t>大力推行绿色生产方式。严把项目准入关</w:t>
      </w:r>
      <w:r>
        <w:rPr>
          <w:rFonts w:hint="eastAsia"/>
          <w:color w:val="auto"/>
          <w:lang w:val="en-US" w:eastAsia="zh-CN"/>
        </w:rPr>
        <w:t>，</w:t>
      </w:r>
      <w:r>
        <w:rPr>
          <w:rFonts w:hint="default"/>
          <w:color w:val="auto"/>
          <w:lang w:val="en-US" w:eastAsia="zh-CN"/>
        </w:rPr>
        <w:t>严格控制生态环境风险红线</w:t>
      </w:r>
      <w:r>
        <w:rPr>
          <w:rFonts w:hint="eastAsia"/>
          <w:color w:val="auto"/>
          <w:lang w:val="en-US" w:eastAsia="zh-CN"/>
        </w:rPr>
        <w:t>，</w:t>
      </w:r>
      <w:r>
        <w:rPr>
          <w:rFonts w:hint="default"/>
          <w:color w:val="auto"/>
          <w:lang w:val="en-US" w:eastAsia="zh-CN"/>
        </w:rPr>
        <w:t>对环保不达标企业</w:t>
      </w:r>
      <w:r>
        <w:rPr>
          <w:rFonts w:hint="eastAsia"/>
          <w:color w:val="auto"/>
          <w:lang w:val="en-US" w:eastAsia="zh-CN"/>
        </w:rPr>
        <w:t>“</w:t>
      </w:r>
      <w:r>
        <w:rPr>
          <w:rFonts w:hint="default"/>
          <w:color w:val="auto"/>
          <w:lang w:val="en-US" w:eastAsia="zh-CN"/>
        </w:rPr>
        <w:t>零容忍</w:t>
      </w:r>
      <w:r>
        <w:rPr>
          <w:rFonts w:hint="eastAsia"/>
          <w:color w:val="auto"/>
          <w:lang w:val="en-US" w:eastAsia="zh-CN"/>
        </w:rPr>
        <w:t>”</w:t>
      </w:r>
      <w:r>
        <w:rPr>
          <w:rFonts w:hint="default"/>
          <w:color w:val="auto"/>
          <w:lang w:val="en-US" w:eastAsia="zh-CN"/>
        </w:rPr>
        <w:t>。大力推进清洁生产</w:t>
      </w:r>
      <w:r>
        <w:rPr>
          <w:rFonts w:hint="eastAsia"/>
          <w:color w:val="auto"/>
          <w:lang w:val="en-US" w:eastAsia="zh-CN"/>
        </w:rPr>
        <w:t>，</w:t>
      </w:r>
      <w:r>
        <w:rPr>
          <w:rFonts w:hint="default"/>
          <w:color w:val="auto"/>
          <w:lang w:val="en-US" w:eastAsia="zh-CN"/>
        </w:rPr>
        <w:t>优先支持符合采用清洁能源的建设项目</w:t>
      </w:r>
      <w:r>
        <w:rPr>
          <w:rFonts w:hint="eastAsia"/>
          <w:color w:val="auto"/>
          <w:lang w:val="en-US" w:eastAsia="zh-CN"/>
        </w:rPr>
        <w:t>，</w:t>
      </w:r>
      <w:r>
        <w:rPr>
          <w:rFonts w:hint="default"/>
          <w:color w:val="auto"/>
          <w:lang w:val="en-US" w:eastAsia="zh-CN"/>
        </w:rPr>
        <w:t>推进服务主体绿色化、服务过程清洁化</w:t>
      </w:r>
      <w:r>
        <w:rPr>
          <w:rFonts w:hint="eastAsia"/>
          <w:color w:val="auto"/>
          <w:lang w:val="en-US" w:eastAsia="zh-CN"/>
        </w:rPr>
        <w:t>，</w:t>
      </w:r>
      <w:r>
        <w:rPr>
          <w:rFonts w:hint="default"/>
          <w:color w:val="auto"/>
          <w:lang w:val="en-US" w:eastAsia="zh-CN"/>
        </w:rPr>
        <w:t>从源头上减少资源消耗</w:t>
      </w:r>
      <w:r>
        <w:rPr>
          <w:rFonts w:hint="eastAsia"/>
          <w:color w:val="auto"/>
          <w:lang w:val="en-US" w:eastAsia="zh-CN"/>
        </w:rPr>
        <w:t>，</w:t>
      </w:r>
      <w:r>
        <w:rPr>
          <w:rFonts w:hint="default"/>
          <w:color w:val="auto"/>
          <w:lang w:val="en-US" w:eastAsia="zh-CN"/>
        </w:rPr>
        <w:t>促进资源综合利用。大力发展无公害农产品、绿色食品和地理标志农产品</w:t>
      </w:r>
      <w:r>
        <w:rPr>
          <w:rFonts w:hint="eastAsia"/>
          <w:color w:val="auto"/>
          <w:lang w:val="en-US" w:eastAsia="zh-CN"/>
        </w:rPr>
        <w:t>，</w:t>
      </w:r>
      <w:r>
        <w:rPr>
          <w:rFonts w:hint="default"/>
          <w:color w:val="auto"/>
          <w:lang w:val="en-US" w:eastAsia="zh-CN"/>
        </w:rPr>
        <w:t>加快推动农业资源利用节约化、生产过程清洁化、产业链接循环化、废物处理无害化</w:t>
      </w:r>
      <w:r>
        <w:rPr>
          <w:rFonts w:hint="eastAsia"/>
          <w:color w:val="auto"/>
          <w:lang w:val="en-US" w:eastAsia="zh-CN"/>
        </w:rPr>
        <w:t>，</w:t>
      </w:r>
      <w:r>
        <w:rPr>
          <w:rFonts w:hint="default"/>
          <w:color w:val="auto"/>
          <w:lang w:val="en-US" w:eastAsia="zh-CN"/>
        </w:rPr>
        <w:t>构建生态有机的绿色农业体系。强化</w:t>
      </w:r>
      <w:r>
        <w:rPr>
          <w:rFonts w:hint="eastAsia"/>
          <w:color w:val="auto"/>
          <w:lang w:val="en-US" w:eastAsia="zh-CN"/>
        </w:rPr>
        <w:t>“</w:t>
      </w:r>
      <w:r>
        <w:rPr>
          <w:rFonts w:hint="default"/>
          <w:color w:val="auto"/>
          <w:lang w:val="en-US" w:eastAsia="zh-CN"/>
        </w:rPr>
        <w:t>亩产论英雄</w:t>
      </w:r>
      <w:r>
        <w:rPr>
          <w:rFonts w:hint="eastAsia"/>
          <w:color w:val="auto"/>
          <w:lang w:val="en-US" w:eastAsia="zh-CN"/>
        </w:rPr>
        <w:t>”</w:t>
      </w:r>
      <w:r>
        <w:rPr>
          <w:rFonts w:hint="default"/>
          <w:color w:val="auto"/>
          <w:lang w:val="en-US" w:eastAsia="zh-CN"/>
        </w:rPr>
        <w:t>导向</w:t>
      </w:r>
      <w:r>
        <w:rPr>
          <w:rFonts w:hint="eastAsia"/>
          <w:color w:val="auto"/>
          <w:lang w:val="en-US" w:eastAsia="zh-CN"/>
        </w:rPr>
        <w:t>，</w:t>
      </w:r>
      <w:r>
        <w:rPr>
          <w:rFonts w:hint="default"/>
          <w:color w:val="auto"/>
          <w:lang w:val="en-US" w:eastAsia="zh-CN"/>
        </w:rPr>
        <w:t>探索建立以亩均产出为导向的企业分类综合评价机制。</w:t>
      </w:r>
    </w:p>
    <w:p>
      <w:pPr>
        <w:pStyle w:val="20"/>
        <w:numPr>
          <w:ilvl w:val="1"/>
          <w:numId w:val="0"/>
        </w:numPr>
        <w:bidi w:val="0"/>
        <w:ind w:leftChars="0"/>
        <w:rPr>
          <w:rFonts w:hint="default" w:ascii="仿宋" w:hAnsi="仿宋" w:eastAsia="仿宋" w:cs="仿宋"/>
          <w:color w:val="auto"/>
          <w:lang w:val="en-US" w:eastAsia="zh-CN"/>
        </w:rPr>
      </w:pPr>
      <w:bookmarkStart w:id="269" w:name="_Toc18509"/>
      <w:bookmarkStart w:id="270" w:name="_Toc16404"/>
      <w:bookmarkStart w:id="271" w:name="_Toc6717"/>
      <w:bookmarkStart w:id="272" w:name="_Toc2596"/>
      <w:r>
        <w:rPr>
          <w:rFonts w:hint="eastAsia" w:ascii="仿宋" w:hAnsi="仿宋" w:eastAsia="仿宋" w:cs="仿宋"/>
          <w:color w:val="auto"/>
          <w:lang w:val="en-US" w:eastAsia="zh-CN"/>
        </w:rPr>
        <w:t>（五）生态生活体系建设</w:t>
      </w:r>
      <w:bookmarkEnd w:id="269"/>
      <w:bookmarkEnd w:id="270"/>
      <w:bookmarkEnd w:id="271"/>
      <w:bookmarkEnd w:id="272"/>
    </w:p>
    <w:p>
      <w:pPr>
        <w:pStyle w:val="21"/>
        <w:bidi w:val="0"/>
        <w:rPr>
          <w:rFonts w:hint="eastAsia" w:ascii="Times New Roman" w:hAnsi="Times New Roman" w:cs="Times New Roman"/>
          <w:color w:val="auto"/>
          <w:lang w:val="en-US" w:eastAsia="zh-CN"/>
        </w:rPr>
      </w:pPr>
      <w:r>
        <w:rPr>
          <w:rFonts w:hint="default"/>
          <w:color w:val="auto"/>
          <w:lang w:val="en-US" w:eastAsia="zh-CN"/>
        </w:rPr>
        <w:t>围绕生活方式生态化、绿色化、低碳化转变的要求，建设优美人居环境，培育绿色低碳消费与绿色低碳生活方式，驱动城区、镇区、乡村三级生态生活圈品质提升，打造智慧、生态、文明、宜居的生态生活示范区。</w:t>
      </w:r>
      <w:bookmarkStart w:id="273" w:name="_Toc24035"/>
      <w:bookmarkStart w:id="274" w:name="_Toc27008"/>
      <w:bookmarkStart w:id="275" w:name="_Toc15462"/>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default" w:ascii="Times New Roman" w:hAnsi="Times New Roman" w:cs="Times New Roman"/>
          <w:color w:val="auto"/>
          <w:lang w:val="en-US" w:eastAsia="zh-CN"/>
        </w:rPr>
      </w:pPr>
      <w:bookmarkStart w:id="276" w:name="_Toc19491"/>
      <w:r>
        <w:rPr>
          <w:rFonts w:hint="eastAsia" w:ascii="Times New Roman" w:hAnsi="Times New Roman" w:cs="Times New Roman"/>
          <w:color w:val="auto"/>
          <w:lang w:val="en-US" w:eastAsia="zh-CN"/>
        </w:rPr>
        <w:t>1.</w:t>
      </w:r>
      <w:r>
        <w:rPr>
          <w:rFonts w:hint="default" w:ascii="Times New Roman" w:hAnsi="Times New Roman" w:cs="Times New Roman"/>
          <w:color w:val="auto"/>
          <w:lang w:val="en-US" w:eastAsia="zh-CN"/>
        </w:rPr>
        <w:t>扩大绿色生态空间</w:t>
      </w:r>
      <w:bookmarkEnd w:id="273"/>
      <w:bookmarkEnd w:id="274"/>
      <w:bookmarkEnd w:id="275"/>
      <w:bookmarkEnd w:id="276"/>
    </w:p>
    <w:p>
      <w:pPr>
        <w:pStyle w:val="21"/>
        <w:bidi w:val="0"/>
        <w:rPr>
          <w:rFonts w:hint="default"/>
          <w:color w:val="auto"/>
          <w:lang w:val="en-US" w:eastAsia="zh-CN"/>
        </w:rPr>
      </w:pPr>
      <w:r>
        <w:rPr>
          <w:rFonts w:hint="eastAsia"/>
          <w:b/>
          <w:bCs/>
          <w:color w:val="auto"/>
          <w:lang w:val="en-US" w:eastAsia="zh-CN"/>
        </w:rPr>
        <w:t>推进海绵城市与地下综合管廊建设。</w:t>
      </w:r>
      <w:r>
        <w:rPr>
          <w:rFonts w:hint="default"/>
          <w:color w:val="auto"/>
          <w:lang w:val="en-US" w:eastAsia="zh-CN"/>
        </w:rPr>
        <w:t>因地制宜建设生态排水设施，充分发挥绿地、道路、水系对雨水的吸纳蓄渗、净化缓释作用。构建生态、韧性、安全的河湖水系，提高</w:t>
      </w:r>
      <w:r>
        <w:rPr>
          <w:rFonts w:hint="eastAsia"/>
          <w:color w:val="auto"/>
          <w:lang w:val="en-US" w:eastAsia="zh-CN"/>
        </w:rPr>
        <w:t>红谷滩</w:t>
      </w:r>
      <w:r>
        <w:rPr>
          <w:rFonts w:hint="default"/>
          <w:color w:val="auto"/>
          <w:lang w:val="en-US" w:eastAsia="zh-CN"/>
        </w:rPr>
        <w:t>区雨洪调蓄能力，推行低影响开发模式，综合采取</w:t>
      </w:r>
      <w:r>
        <w:rPr>
          <w:rFonts w:hint="eastAsia"/>
          <w:color w:val="auto"/>
          <w:lang w:val="en-US" w:eastAsia="zh-CN"/>
        </w:rPr>
        <w:t>“</w:t>
      </w:r>
      <w:r>
        <w:rPr>
          <w:rFonts w:hint="default"/>
          <w:color w:val="auto"/>
          <w:lang w:val="en-US" w:eastAsia="zh-CN"/>
        </w:rPr>
        <w:t>渗、滞、蓄、净、用、排</w:t>
      </w:r>
      <w:r>
        <w:rPr>
          <w:rFonts w:hint="eastAsia"/>
          <w:color w:val="auto"/>
          <w:lang w:val="en-US" w:eastAsia="zh-CN"/>
        </w:rPr>
        <w:t>”</w:t>
      </w:r>
      <w:r>
        <w:rPr>
          <w:rFonts w:hint="default"/>
          <w:color w:val="auto"/>
          <w:lang w:val="en-US" w:eastAsia="zh-CN"/>
        </w:rPr>
        <w:t>等措施，加快推进</w:t>
      </w:r>
      <w:r>
        <w:rPr>
          <w:rFonts w:hint="eastAsia"/>
          <w:color w:val="auto"/>
          <w:lang w:val="en-US" w:eastAsia="zh-CN"/>
        </w:rPr>
        <w:t>“</w:t>
      </w:r>
      <w:r>
        <w:rPr>
          <w:rFonts w:hint="default"/>
          <w:color w:val="auto"/>
          <w:lang w:val="en-US" w:eastAsia="zh-CN"/>
        </w:rPr>
        <w:t>自然渗透、自然积存、自然净化</w:t>
      </w:r>
      <w:r>
        <w:rPr>
          <w:rFonts w:hint="eastAsia"/>
          <w:color w:val="auto"/>
          <w:lang w:val="en-US" w:eastAsia="zh-CN"/>
        </w:rPr>
        <w:t>”</w:t>
      </w:r>
      <w:r>
        <w:rPr>
          <w:rFonts w:hint="default"/>
          <w:color w:val="auto"/>
          <w:lang w:val="en-US" w:eastAsia="zh-CN"/>
        </w:rPr>
        <w:t>的海绵城市建设</w:t>
      </w:r>
      <w:r>
        <w:rPr>
          <w:rFonts w:hint="eastAsia"/>
          <w:color w:val="auto"/>
          <w:lang w:val="en-US" w:eastAsia="zh-CN"/>
        </w:rPr>
        <w:t>。</w:t>
      </w:r>
      <w:r>
        <w:rPr>
          <w:rFonts w:hint="default"/>
          <w:color w:val="auto"/>
          <w:lang w:val="en-US" w:eastAsia="zh-CN"/>
        </w:rPr>
        <w:t>推动地下综合管廊建设</w:t>
      </w:r>
      <w:r>
        <w:rPr>
          <w:rFonts w:hint="eastAsia"/>
          <w:color w:val="auto"/>
          <w:lang w:val="en-US" w:eastAsia="zh-CN"/>
        </w:rPr>
        <w:t>，</w:t>
      </w:r>
      <w:r>
        <w:rPr>
          <w:rFonts w:hint="default"/>
          <w:color w:val="auto"/>
          <w:lang w:val="en-US" w:eastAsia="zh-CN"/>
        </w:rPr>
        <w:t>开展九龙湖路网二期海绵城市试点</w:t>
      </w:r>
      <w:r>
        <w:rPr>
          <w:rFonts w:hint="eastAsia"/>
          <w:color w:val="auto"/>
          <w:lang w:val="en-US" w:eastAsia="zh-CN"/>
        </w:rPr>
        <w:t>，</w:t>
      </w:r>
      <w:r>
        <w:rPr>
          <w:rFonts w:hint="default"/>
          <w:color w:val="auto"/>
          <w:lang w:val="en-US" w:eastAsia="zh-CN"/>
        </w:rPr>
        <w:t>着力打造在全国有影响、全省一流的海绵城市和管廊建设示范区。</w:t>
      </w:r>
    </w:p>
    <w:p>
      <w:pPr>
        <w:pStyle w:val="21"/>
        <w:bidi w:val="0"/>
        <w:rPr>
          <w:rFonts w:hint="default"/>
          <w:color w:val="auto"/>
          <w:lang w:val="en-US" w:eastAsia="zh-CN"/>
        </w:rPr>
      </w:pPr>
      <w:r>
        <w:rPr>
          <w:rFonts w:hint="default" w:ascii="Times New Roman" w:hAnsi="Times New Roman" w:cs="Times New Roman"/>
          <w:b/>
          <w:bCs/>
          <w:color w:val="auto"/>
          <w:lang w:val="en-US" w:eastAsia="zh-CN"/>
        </w:rPr>
        <w:t>推进全域增绿织绿，打造绿色生态城区</w:t>
      </w:r>
      <w:r>
        <w:rPr>
          <w:rFonts w:hint="eastAsia" w:ascii="Times New Roman" w:hAnsi="Times New Roman" w:cs="Times New Roman"/>
          <w:b/>
          <w:bCs/>
          <w:color w:val="auto"/>
          <w:lang w:val="en-US" w:eastAsia="zh-CN"/>
        </w:rPr>
        <w:t>。</w:t>
      </w:r>
      <w:r>
        <w:rPr>
          <w:rFonts w:hint="default"/>
          <w:color w:val="auto"/>
          <w:lang w:val="en-US" w:eastAsia="zh-CN"/>
        </w:rPr>
        <w:t>合理规划建设生态廊道和公园绿地。继续对主次干道实施</w:t>
      </w:r>
      <w:r>
        <w:rPr>
          <w:rFonts w:hint="eastAsia"/>
          <w:color w:val="auto"/>
          <w:lang w:val="en-US" w:eastAsia="zh-CN"/>
        </w:rPr>
        <w:t>“</w:t>
      </w:r>
      <w:r>
        <w:rPr>
          <w:rFonts w:hint="default"/>
          <w:color w:val="auto"/>
          <w:lang w:val="en-US" w:eastAsia="zh-CN"/>
        </w:rPr>
        <w:t>绿改彩</w:t>
      </w:r>
      <w:r>
        <w:rPr>
          <w:rFonts w:hint="eastAsia"/>
          <w:color w:val="auto"/>
          <w:lang w:val="en-US" w:eastAsia="zh-CN"/>
        </w:rPr>
        <w:t>”，</w:t>
      </w:r>
      <w:r>
        <w:rPr>
          <w:rFonts w:hint="default"/>
          <w:color w:val="auto"/>
          <w:lang w:val="en-US" w:eastAsia="zh-CN"/>
        </w:rPr>
        <w:t>以花卉造型装扮城市道路</w:t>
      </w:r>
      <w:r>
        <w:rPr>
          <w:rFonts w:hint="eastAsia"/>
          <w:color w:val="auto"/>
          <w:lang w:val="en-US" w:eastAsia="zh-CN"/>
        </w:rPr>
        <w:t>，</w:t>
      </w:r>
      <w:r>
        <w:rPr>
          <w:rFonts w:hint="default"/>
          <w:color w:val="auto"/>
          <w:lang w:val="en-US" w:eastAsia="zh-CN"/>
        </w:rPr>
        <w:t>由平面绿化向立体绿化拓展</w:t>
      </w:r>
      <w:r>
        <w:rPr>
          <w:rFonts w:hint="eastAsia"/>
          <w:color w:val="auto"/>
          <w:lang w:val="en-US" w:eastAsia="zh-CN"/>
        </w:rPr>
        <w:t>，</w:t>
      </w:r>
      <w:r>
        <w:rPr>
          <w:rFonts w:hint="default"/>
          <w:color w:val="auto"/>
          <w:lang w:val="en-US" w:eastAsia="zh-CN"/>
        </w:rPr>
        <w:t>着力开辟绿化空间。以江西的鄱阳湖、井冈山和婺源等自然景观为主题</w:t>
      </w:r>
      <w:r>
        <w:rPr>
          <w:rFonts w:hint="eastAsia"/>
          <w:color w:val="auto"/>
          <w:lang w:val="en-US" w:eastAsia="zh-CN"/>
        </w:rPr>
        <w:t>，</w:t>
      </w:r>
      <w:r>
        <w:rPr>
          <w:rFonts w:hint="default"/>
          <w:color w:val="auto"/>
          <w:lang w:val="en-US" w:eastAsia="zh-CN"/>
        </w:rPr>
        <w:t>体现江西本土山水文化、高品位、富有地方特色和时代特征的城市园林。按照</w:t>
      </w:r>
      <w:r>
        <w:rPr>
          <w:rFonts w:hint="eastAsia"/>
          <w:color w:val="auto"/>
          <w:lang w:val="en-US" w:eastAsia="zh-CN"/>
        </w:rPr>
        <w:t>“</w:t>
      </w:r>
      <w:r>
        <w:rPr>
          <w:rFonts w:hint="default"/>
          <w:color w:val="auto"/>
          <w:lang w:val="en-US" w:eastAsia="zh-CN"/>
        </w:rPr>
        <w:t>300米见绿、500米见园</w:t>
      </w:r>
      <w:r>
        <w:rPr>
          <w:rFonts w:hint="eastAsia"/>
          <w:color w:val="auto"/>
          <w:lang w:val="en-US" w:eastAsia="zh-CN"/>
        </w:rPr>
        <w:t>”</w:t>
      </w:r>
      <w:r>
        <w:rPr>
          <w:rFonts w:hint="default"/>
          <w:color w:val="auto"/>
          <w:lang w:val="en-US" w:eastAsia="zh-CN"/>
        </w:rPr>
        <w:t>的要求</w:t>
      </w:r>
      <w:r>
        <w:rPr>
          <w:rFonts w:hint="eastAsia"/>
          <w:color w:val="auto"/>
          <w:lang w:val="en-US" w:eastAsia="zh-CN"/>
        </w:rPr>
        <w:t>，</w:t>
      </w:r>
      <w:r>
        <w:rPr>
          <w:rFonts w:hint="default"/>
          <w:color w:val="auto"/>
          <w:lang w:val="en-US" w:eastAsia="zh-CN"/>
        </w:rPr>
        <w:t>加快推进虎形山公园、VR科创城中央湖公园、九龙湖公园水景工程等建设</w:t>
      </w:r>
      <w:r>
        <w:rPr>
          <w:rFonts w:hint="eastAsia"/>
          <w:color w:val="auto"/>
          <w:lang w:val="en-US" w:eastAsia="zh-CN"/>
        </w:rPr>
        <w:t>，</w:t>
      </w:r>
      <w:r>
        <w:rPr>
          <w:rFonts w:hint="default"/>
          <w:color w:val="auto"/>
          <w:lang w:val="en-US" w:eastAsia="zh-CN"/>
        </w:rPr>
        <w:t>注重利用边角地带或闲置地块规划建设</w:t>
      </w:r>
      <w:r>
        <w:rPr>
          <w:rFonts w:hint="eastAsia"/>
          <w:color w:val="auto"/>
          <w:lang w:val="en-US" w:eastAsia="zh-CN"/>
        </w:rPr>
        <w:t>“</w:t>
      </w:r>
      <w:r>
        <w:rPr>
          <w:rFonts w:hint="default"/>
          <w:color w:val="auto"/>
          <w:lang w:val="en-US" w:eastAsia="zh-CN"/>
        </w:rPr>
        <w:t>口袋公园</w:t>
      </w:r>
      <w:r>
        <w:rPr>
          <w:rFonts w:hint="eastAsia"/>
          <w:color w:val="auto"/>
          <w:lang w:val="en-US" w:eastAsia="zh-CN"/>
        </w:rPr>
        <w:t>”“</w:t>
      </w:r>
      <w:r>
        <w:rPr>
          <w:rFonts w:hint="default"/>
          <w:color w:val="auto"/>
          <w:lang w:val="en-US" w:eastAsia="zh-CN"/>
        </w:rPr>
        <w:t>邮票绿地</w:t>
      </w:r>
      <w:r>
        <w:rPr>
          <w:rFonts w:hint="eastAsia"/>
          <w:color w:val="auto"/>
          <w:lang w:val="en-US" w:eastAsia="zh-CN"/>
        </w:rPr>
        <w:t>”</w:t>
      </w:r>
      <w:r>
        <w:rPr>
          <w:rFonts w:hint="default"/>
          <w:color w:val="auto"/>
          <w:lang w:val="en-US" w:eastAsia="zh-CN"/>
        </w:rPr>
        <w:t>。</w:t>
      </w:r>
    </w:p>
    <w:p>
      <w:pPr>
        <w:pStyle w:val="21"/>
        <w:bidi w:val="0"/>
        <w:rPr>
          <w:color w:val="auto"/>
        </w:rPr>
      </w:pPr>
      <w:r>
        <w:rPr>
          <w:rFonts w:hint="default" w:ascii="Times New Roman" w:hAnsi="Times New Roman" w:cs="Times New Roman"/>
          <w:b/>
          <w:bCs/>
          <w:color w:val="auto"/>
          <w:lang w:val="en-US" w:eastAsia="zh-CN"/>
        </w:rPr>
        <w:t>完善水资源利用及水安全保障体系</w:t>
      </w:r>
      <w:r>
        <w:rPr>
          <w:rFonts w:hint="eastAsia" w:ascii="Times New Roman" w:hAnsi="Times New Roman" w:cs="Times New Roman"/>
          <w:b/>
          <w:bCs/>
          <w:color w:val="auto"/>
          <w:lang w:val="en-US" w:eastAsia="zh-CN"/>
        </w:rPr>
        <w:t>。</w:t>
      </w:r>
      <w:r>
        <w:rPr>
          <w:color w:val="auto"/>
          <w:lang w:val="en-US" w:eastAsia="zh-CN"/>
        </w:rPr>
        <w:t>推进中心城区防洪排涝工程以及</w:t>
      </w:r>
      <w:r>
        <w:rPr>
          <w:rFonts w:hint="eastAsia"/>
          <w:color w:val="auto"/>
          <w:lang w:val="en-US" w:eastAsia="zh-CN"/>
        </w:rPr>
        <w:t>生米街道</w:t>
      </w:r>
      <w:r>
        <w:rPr>
          <w:color w:val="auto"/>
          <w:lang w:val="en-US" w:eastAsia="zh-CN"/>
        </w:rPr>
        <w:t>防洪工程建</w:t>
      </w:r>
      <w:r>
        <w:rPr>
          <w:rFonts w:hint="eastAsia"/>
          <w:color w:val="auto"/>
          <w:lang w:val="en-US" w:eastAsia="zh-CN"/>
        </w:rPr>
        <w:t>设，提升境内赣江流域及重要支流、重要河段防洪能力，实施乌沙河、九龙湖、碟子湖水系连通工程，确保工程和下游人民群众生命财产安全。加快生米街道现有灌区续建配套与节水改造，开展小型农田水利建设，推进农业综合开发、基本农田整治、土壤改良和田间配套设施建设，改善农业生产条件，提高农业特别是粮食综合生产能力。实施城市饮用水水源地保护、城市抗旱应急及备用水源配置与农村饮水安全提质增效等工程建设，提高应对供水安全突发事件处理能力。积极推进规模化集中供水工程建设，延伸集中供水管网，实行城乡一体化联网供水，提高农村供水保障水平。</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default" w:ascii="Times New Roman" w:hAnsi="Times New Roman" w:cs="Times New Roman"/>
          <w:color w:val="auto"/>
          <w:lang w:val="en-US" w:eastAsia="zh-CN"/>
        </w:rPr>
      </w:pPr>
      <w:bookmarkStart w:id="277" w:name="_Toc29107"/>
      <w:bookmarkStart w:id="278" w:name="_Toc30676"/>
      <w:bookmarkStart w:id="279" w:name="_Toc20942"/>
      <w:bookmarkStart w:id="280" w:name="_Toc22482"/>
      <w:r>
        <w:rPr>
          <w:rFonts w:hint="eastAsia" w:ascii="Times New Roman" w:hAnsi="Times New Roman" w:cs="Times New Roman"/>
          <w:color w:val="auto"/>
          <w:lang w:val="en-US" w:eastAsia="zh-CN"/>
        </w:rPr>
        <w:t>2.</w:t>
      </w:r>
      <w:r>
        <w:rPr>
          <w:rFonts w:hint="default" w:ascii="Times New Roman" w:hAnsi="Times New Roman" w:cs="Times New Roman"/>
          <w:color w:val="auto"/>
          <w:lang w:val="en-US" w:eastAsia="zh-CN"/>
        </w:rPr>
        <w:t>优化人居生态环境</w:t>
      </w:r>
      <w:bookmarkEnd w:id="277"/>
      <w:bookmarkEnd w:id="278"/>
      <w:bookmarkEnd w:id="279"/>
      <w:bookmarkEnd w:id="280"/>
    </w:p>
    <w:p>
      <w:pPr>
        <w:pStyle w:val="21"/>
        <w:bidi w:val="0"/>
        <w:rPr>
          <w:rFonts w:hint="default"/>
          <w:color w:val="auto"/>
          <w:lang w:val="en-US" w:eastAsia="zh-CN"/>
        </w:rPr>
      </w:pPr>
      <w:r>
        <w:rPr>
          <w:rFonts w:hint="default"/>
          <w:b/>
          <w:bCs/>
          <w:color w:val="auto"/>
          <w:lang w:val="en-US" w:eastAsia="zh-CN"/>
        </w:rPr>
        <w:t>深入推进城市有机更新</w:t>
      </w:r>
      <w:r>
        <w:rPr>
          <w:rFonts w:hint="eastAsia"/>
          <w:b/>
          <w:bCs/>
          <w:color w:val="auto"/>
          <w:lang w:val="en-US" w:eastAsia="zh-CN"/>
        </w:rPr>
        <w:t>。</w:t>
      </w:r>
      <w:r>
        <w:rPr>
          <w:rFonts w:hint="default"/>
          <w:color w:val="auto"/>
          <w:lang w:val="en-US" w:eastAsia="zh-CN"/>
        </w:rPr>
        <w:t>加快实施摩天轮以南提升改造、秋水广场商业提升改造、秋水广场公共区域提升改造项目</w:t>
      </w:r>
      <w:r>
        <w:rPr>
          <w:rFonts w:hint="eastAsia"/>
          <w:color w:val="auto"/>
          <w:lang w:val="en-US" w:eastAsia="zh-CN"/>
        </w:rPr>
        <w:t>，</w:t>
      </w:r>
      <w:r>
        <w:rPr>
          <w:rFonts w:hint="default"/>
          <w:color w:val="auto"/>
          <w:lang w:val="en-US" w:eastAsia="zh-CN"/>
        </w:rPr>
        <w:t>显著改善秋水广场区域整体形象。大力实施老旧小区</w:t>
      </w:r>
      <w:r>
        <w:rPr>
          <w:rFonts w:hint="eastAsia"/>
          <w:color w:val="auto"/>
          <w:lang w:val="en-US" w:eastAsia="zh-CN"/>
        </w:rPr>
        <w:t>“</w:t>
      </w:r>
      <w:r>
        <w:rPr>
          <w:rFonts w:hint="default"/>
          <w:color w:val="auto"/>
          <w:lang w:val="en-US" w:eastAsia="zh-CN"/>
        </w:rPr>
        <w:t>功能修补</w:t>
      </w:r>
      <w:r>
        <w:rPr>
          <w:rFonts w:hint="eastAsia"/>
          <w:color w:val="auto"/>
          <w:lang w:val="en-US" w:eastAsia="zh-CN"/>
        </w:rPr>
        <w:t>”</w:t>
      </w:r>
      <w:r>
        <w:rPr>
          <w:rFonts w:hint="default"/>
          <w:color w:val="auto"/>
          <w:lang w:val="en-US" w:eastAsia="zh-CN"/>
        </w:rPr>
        <w:t>行动</w:t>
      </w:r>
      <w:r>
        <w:rPr>
          <w:rFonts w:hint="eastAsia"/>
          <w:color w:val="auto"/>
          <w:lang w:val="en-US" w:eastAsia="zh-CN"/>
        </w:rPr>
        <w:t>，</w:t>
      </w:r>
      <w:r>
        <w:rPr>
          <w:rFonts w:hint="default"/>
          <w:color w:val="auto"/>
          <w:lang w:val="en-US" w:eastAsia="zh-CN"/>
        </w:rPr>
        <w:t>重点推进老旧小区污水管网改造、屋顶防水、外墙装饰、电梯维护等工作</w:t>
      </w:r>
      <w:r>
        <w:rPr>
          <w:rFonts w:hint="eastAsia"/>
          <w:color w:val="auto"/>
          <w:lang w:val="en-US" w:eastAsia="zh-CN"/>
        </w:rPr>
        <w:t>，</w:t>
      </w:r>
      <w:r>
        <w:rPr>
          <w:rFonts w:hint="default"/>
          <w:color w:val="auto"/>
          <w:lang w:val="en-US" w:eastAsia="zh-CN"/>
        </w:rPr>
        <w:t>增设智能充电桩</w:t>
      </w:r>
      <w:r>
        <w:rPr>
          <w:rFonts w:hint="eastAsia"/>
          <w:color w:val="auto"/>
          <w:lang w:val="en-US" w:eastAsia="zh-CN"/>
        </w:rPr>
        <w:t>，</w:t>
      </w:r>
      <w:r>
        <w:rPr>
          <w:rFonts w:hint="default"/>
          <w:color w:val="auto"/>
          <w:lang w:val="en-US" w:eastAsia="zh-CN"/>
        </w:rPr>
        <w:t>畅通消防通道</w:t>
      </w:r>
      <w:r>
        <w:rPr>
          <w:rFonts w:hint="eastAsia"/>
          <w:color w:val="auto"/>
          <w:lang w:val="en-US" w:eastAsia="zh-CN"/>
        </w:rPr>
        <w:t>，</w:t>
      </w:r>
      <w:r>
        <w:rPr>
          <w:rFonts w:hint="default"/>
          <w:color w:val="auto"/>
          <w:lang w:val="en-US" w:eastAsia="zh-CN"/>
        </w:rPr>
        <w:t>提升居住环境舒适度。抓好精品工程建设</w:t>
      </w:r>
      <w:r>
        <w:rPr>
          <w:rFonts w:hint="eastAsia"/>
          <w:color w:val="auto"/>
          <w:lang w:val="en-US" w:eastAsia="zh-CN"/>
        </w:rPr>
        <w:t>，</w:t>
      </w:r>
      <w:r>
        <w:rPr>
          <w:rFonts w:hint="default"/>
          <w:color w:val="auto"/>
          <w:lang w:val="en-US" w:eastAsia="zh-CN"/>
        </w:rPr>
        <w:t>重点推进虎形山公园、VR科创城中央湖公园、九龙湖公园水景工程以及九龙湖核心片区绿道建设。突出</w:t>
      </w:r>
      <w:r>
        <w:rPr>
          <w:rFonts w:hint="eastAsia"/>
          <w:color w:val="auto"/>
          <w:lang w:val="en-US" w:eastAsia="zh-CN"/>
        </w:rPr>
        <w:t>“</w:t>
      </w:r>
      <w:r>
        <w:rPr>
          <w:rFonts w:hint="default"/>
          <w:color w:val="auto"/>
          <w:lang w:val="en-US" w:eastAsia="zh-CN"/>
        </w:rPr>
        <w:t>韧性城市</w:t>
      </w:r>
      <w:r>
        <w:rPr>
          <w:rFonts w:hint="eastAsia"/>
          <w:color w:val="auto"/>
          <w:lang w:val="en-US" w:eastAsia="zh-CN"/>
        </w:rPr>
        <w:t>”</w:t>
      </w:r>
      <w:r>
        <w:rPr>
          <w:rFonts w:hint="default"/>
          <w:color w:val="auto"/>
          <w:lang w:val="en-US" w:eastAsia="zh-CN"/>
        </w:rPr>
        <w:t>的建设理念</w:t>
      </w:r>
      <w:r>
        <w:rPr>
          <w:rFonts w:hint="eastAsia"/>
          <w:color w:val="auto"/>
          <w:lang w:val="en-US" w:eastAsia="zh-CN"/>
        </w:rPr>
        <w:t>，</w:t>
      </w:r>
      <w:r>
        <w:rPr>
          <w:rFonts w:hint="default"/>
          <w:color w:val="auto"/>
          <w:lang w:val="en-US" w:eastAsia="zh-CN"/>
        </w:rPr>
        <w:t>建设应急救灾物资储备库</w:t>
      </w:r>
      <w:r>
        <w:rPr>
          <w:rFonts w:hint="eastAsia"/>
          <w:color w:val="auto"/>
          <w:lang w:val="en-US" w:eastAsia="zh-CN"/>
        </w:rPr>
        <w:t>，</w:t>
      </w:r>
      <w:r>
        <w:rPr>
          <w:rFonts w:hint="default"/>
          <w:color w:val="auto"/>
          <w:lang w:val="en-US" w:eastAsia="zh-CN"/>
        </w:rPr>
        <w:t>提升老旧小区健康安全标准</w:t>
      </w:r>
      <w:r>
        <w:rPr>
          <w:rFonts w:hint="eastAsia"/>
          <w:color w:val="auto"/>
          <w:lang w:val="en-US" w:eastAsia="zh-CN"/>
        </w:rPr>
        <w:t>，</w:t>
      </w:r>
      <w:r>
        <w:rPr>
          <w:rFonts w:hint="default"/>
          <w:color w:val="auto"/>
          <w:lang w:val="en-US" w:eastAsia="zh-CN"/>
        </w:rPr>
        <w:t>增强城市面对风险的快速应对能力、适应能力和恢复能力。</w:t>
      </w:r>
    </w:p>
    <w:p>
      <w:pPr>
        <w:pStyle w:val="21"/>
        <w:bidi w:val="0"/>
        <w:rPr>
          <w:rFonts w:hint="default"/>
          <w:color w:val="auto"/>
          <w:lang w:val="en-US" w:eastAsia="zh-CN"/>
        </w:rPr>
      </w:pPr>
      <w:r>
        <w:rPr>
          <w:rFonts w:hint="default" w:ascii="Times New Roman" w:hAnsi="Times New Roman" w:cs="Times New Roman"/>
          <w:b/>
          <w:bCs/>
          <w:color w:val="auto"/>
          <w:lang w:val="en-US" w:eastAsia="zh-CN"/>
        </w:rPr>
        <w:t>持续提升城市建管水平</w:t>
      </w:r>
      <w:r>
        <w:rPr>
          <w:rFonts w:hint="eastAsia" w:ascii="Times New Roman" w:hAnsi="Times New Roman" w:cs="Times New Roman"/>
          <w:b/>
          <w:bCs/>
          <w:color w:val="auto"/>
          <w:lang w:val="en-US" w:eastAsia="zh-CN"/>
        </w:rPr>
        <w:t>。</w:t>
      </w:r>
      <w:r>
        <w:rPr>
          <w:rFonts w:hint="default"/>
          <w:color w:val="auto"/>
          <w:lang w:val="en-US" w:eastAsia="zh-CN"/>
        </w:rPr>
        <w:t>全面推行</w:t>
      </w:r>
      <w:r>
        <w:rPr>
          <w:rFonts w:hint="eastAsia"/>
          <w:color w:val="auto"/>
          <w:lang w:val="en-US" w:eastAsia="zh-CN"/>
        </w:rPr>
        <w:t>“</w:t>
      </w:r>
      <w:r>
        <w:rPr>
          <w:rFonts w:hint="default"/>
          <w:color w:val="auto"/>
          <w:lang w:val="en-US" w:eastAsia="zh-CN"/>
        </w:rPr>
        <w:t>以克论净</w:t>
      </w:r>
      <w:r>
        <w:rPr>
          <w:rFonts w:hint="eastAsia"/>
          <w:color w:val="auto"/>
          <w:lang w:val="en-US" w:eastAsia="zh-CN"/>
        </w:rPr>
        <w:t>”</w:t>
      </w:r>
      <w:r>
        <w:rPr>
          <w:rFonts w:hint="default"/>
          <w:color w:val="auto"/>
          <w:lang w:val="en-US" w:eastAsia="zh-CN"/>
        </w:rPr>
        <w:t>考核机制</w:t>
      </w:r>
      <w:r>
        <w:rPr>
          <w:rFonts w:hint="eastAsia"/>
          <w:color w:val="auto"/>
          <w:lang w:val="en-US" w:eastAsia="zh-CN"/>
        </w:rPr>
        <w:t>，</w:t>
      </w:r>
      <w:r>
        <w:rPr>
          <w:rFonts w:hint="default"/>
          <w:color w:val="auto"/>
          <w:lang w:val="en-US" w:eastAsia="zh-CN"/>
        </w:rPr>
        <w:t>深入推进</w:t>
      </w:r>
      <w:r>
        <w:rPr>
          <w:rFonts w:hint="eastAsia"/>
          <w:color w:val="auto"/>
          <w:lang w:val="en-US" w:eastAsia="zh-CN"/>
        </w:rPr>
        <w:t>“</w:t>
      </w:r>
      <w:r>
        <w:rPr>
          <w:rFonts w:hint="default"/>
          <w:color w:val="auto"/>
          <w:lang w:val="en-US" w:eastAsia="zh-CN"/>
        </w:rPr>
        <w:t>马路本色</w:t>
      </w:r>
      <w:r>
        <w:rPr>
          <w:rFonts w:hint="eastAsia"/>
          <w:color w:val="auto"/>
          <w:lang w:val="en-US" w:eastAsia="zh-CN"/>
        </w:rPr>
        <w:t>”</w:t>
      </w:r>
      <w:r>
        <w:rPr>
          <w:rFonts w:hint="default"/>
          <w:color w:val="auto"/>
          <w:lang w:val="en-US" w:eastAsia="zh-CN"/>
        </w:rPr>
        <w:t>行动</w:t>
      </w:r>
      <w:r>
        <w:rPr>
          <w:rFonts w:hint="eastAsia"/>
          <w:color w:val="auto"/>
          <w:lang w:val="en-US" w:eastAsia="zh-CN"/>
        </w:rPr>
        <w:t>，</w:t>
      </w:r>
      <w:r>
        <w:rPr>
          <w:rFonts w:hint="default"/>
          <w:color w:val="auto"/>
          <w:lang w:val="en-US" w:eastAsia="zh-CN"/>
        </w:rPr>
        <w:t>开展城市深度保洁</w:t>
      </w:r>
      <w:r>
        <w:rPr>
          <w:rFonts w:hint="eastAsia"/>
          <w:color w:val="auto"/>
          <w:lang w:val="en-US" w:eastAsia="zh-CN"/>
        </w:rPr>
        <w:t>，</w:t>
      </w:r>
      <w:r>
        <w:rPr>
          <w:rFonts w:hint="default"/>
          <w:color w:val="auto"/>
          <w:lang w:val="en-US" w:eastAsia="zh-CN"/>
        </w:rPr>
        <w:t>推广洗扫车、洒水车、清洗车</w:t>
      </w:r>
      <w:r>
        <w:rPr>
          <w:rFonts w:hint="eastAsia"/>
          <w:color w:val="auto"/>
          <w:lang w:val="en-US" w:eastAsia="zh-CN"/>
        </w:rPr>
        <w:t>“</w:t>
      </w:r>
      <w:r>
        <w:rPr>
          <w:rFonts w:hint="default"/>
          <w:color w:val="auto"/>
          <w:lang w:val="en-US" w:eastAsia="zh-CN"/>
        </w:rPr>
        <w:t>三机五步</w:t>
      </w:r>
      <w:r>
        <w:rPr>
          <w:rFonts w:hint="eastAsia"/>
          <w:color w:val="auto"/>
          <w:lang w:val="en-US" w:eastAsia="zh-CN"/>
        </w:rPr>
        <w:t>”</w:t>
      </w:r>
      <w:r>
        <w:rPr>
          <w:rFonts w:hint="default"/>
          <w:color w:val="auto"/>
          <w:lang w:val="en-US" w:eastAsia="zh-CN"/>
        </w:rPr>
        <w:t>联合作业模式</w:t>
      </w:r>
      <w:r>
        <w:rPr>
          <w:rFonts w:hint="eastAsia"/>
          <w:color w:val="auto"/>
          <w:lang w:val="en-US" w:eastAsia="zh-CN"/>
        </w:rPr>
        <w:t>，</w:t>
      </w:r>
      <w:r>
        <w:rPr>
          <w:rFonts w:hint="default"/>
          <w:color w:val="auto"/>
          <w:lang w:val="en-US" w:eastAsia="zh-CN"/>
        </w:rPr>
        <w:t>切实达到路面</w:t>
      </w:r>
      <w:r>
        <w:rPr>
          <w:rFonts w:hint="eastAsia"/>
          <w:color w:val="auto"/>
          <w:lang w:val="en-US" w:eastAsia="zh-CN"/>
        </w:rPr>
        <w:t>“</w:t>
      </w:r>
      <w:r>
        <w:rPr>
          <w:rFonts w:hint="default"/>
          <w:color w:val="auto"/>
          <w:lang w:val="en-US" w:eastAsia="zh-CN"/>
        </w:rPr>
        <w:t>不积水、不结冰、不扬尘</w:t>
      </w:r>
      <w:r>
        <w:rPr>
          <w:rFonts w:hint="eastAsia"/>
          <w:color w:val="auto"/>
          <w:lang w:val="en-US" w:eastAsia="zh-CN"/>
        </w:rPr>
        <w:t>”</w:t>
      </w:r>
      <w:r>
        <w:rPr>
          <w:rFonts w:hint="default"/>
          <w:color w:val="auto"/>
          <w:lang w:val="en-US" w:eastAsia="zh-CN"/>
        </w:rPr>
        <w:t>的目标。全面启动生活垃圾分类</w:t>
      </w:r>
      <w:r>
        <w:rPr>
          <w:rFonts w:hint="eastAsia"/>
          <w:color w:val="auto"/>
          <w:lang w:val="en-US" w:eastAsia="zh-CN"/>
        </w:rPr>
        <w:t>，</w:t>
      </w:r>
      <w:r>
        <w:rPr>
          <w:rFonts w:hint="default"/>
          <w:color w:val="auto"/>
          <w:lang w:val="en-US" w:eastAsia="zh-CN"/>
        </w:rPr>
        <w:t>改造垃圾中转站</w:t>
      </w:r>
      <w:r>
        <w:rPr>
          <w:rFonts w:hint="eastAsia"/>
          <w:color w:val="auto"/>
          <w:lang w:val="en-US" w:eastAsia="zh-CN"/>
        </w:rPr>
        <w:t>，</w:t>
      </w:r>
      <w:r>
        <w:rPr>
          <w:rFonts w:hint="default"/>
          <w:color w:val="auto"/>
          <w:lang w:val="en-US" w:eastAsia="zh-CN"/>
        </w:rPr>
        <w:t>实现分类垃圾的有效回收、无害处理</w:t>
      </w:r>
      <w:r>
        <w:rPr>
          <w:rFonts w:hint="eastAsia"/>
          <w:color w:val="auto"/>
          <w:lang w:val="en-US" w:eastAsia="zh-CN"/>
        </w:rPr>
        <w:t>，</w:t>
      </w:r>
      <w:r>
        <w:rPr>
          <w:rFonts w:hint="default"/>
          <w:color w:val="auto"/>
          <w:lang w:val="en-US" w:eastAsia="zh-CN"/>
        </w:rPr>
        <w:t>确保2025年全区生活垃圾回收利用率达到80%以上</w:t>
      </w:r>
      <w:r>
        <w:rPr>
          <w:rFonts w:hint="eastAsia"/>
          <w:color w:val="auto"/>
          <w:lang w:val="en-US" w:eastAsia="zh-CN"/>
        </w:rPr>
        <w:t>，</w:t>
      </w:r>
      <w:r>
        <w:rPr>
          <w:rFonts w:hint="default"/>
          <w:color w:val="auto"/>
          <w:lang w:val="en-US" w:eastAsia="zh-CN"/>
        </w:rPr>
        <w:t>全面建成生活垃圾分类处理系统。加强重点行业管理</w:t>
      </w:r>
      <w:r>
        <w:rPr>
          <w:rFonts w:hint="eastAsia"/>
          <w:color w:val="auto"/>
          <w:lang w:val="en-US" w:eastAsia="zh-CN"/>
        </w:rPr>
        <w:t>，</w:t>
      </w:r>
      <w:r>
        <w:rPr>
          <w:rFonts w:hint="default"/>
          <w:color w:val="auto"/>
          <w:lang w:val="en-US" w:eastAsia="zh-CN"/>
        </w:rPr>
        <w:t>严厉整治违规乱象</w:t>
      </w:r>
      <w:r>
        <w:rPr>
          <w:rFonts w:hint="eastAsia"/>
          <w:color w:val="auto"/>
          <w:lang w:val="en-US" w:eastAsia="zh-CN"/>
        </w:rPr>
        <w:t>，</w:t>
      </w:r>
      <w:r>
        <w:rPr>
          <w:rFonts w:hint="default"/>
          <w:color w:val="auto"/>
          <w:lang w:val="en-US" w:eastAsia="zh-CN"/>
        </w:rPr>
        <w:t>着力加强渣土运输、占道经营、施工围挡等管理。持续改善出行环境</w:t>
      </w:r>
      <w:r>
        <w:rPr>
          <w:rFonts w:hint="eastAsia"/>
          <w:color w:val="auto"/>
          <w:lang w:val="en-US" w:eastAsia="zh-CN"/>
        </w:rPr>
        <w:t>，</w:t>
      </w:r>
      <w:r>
        <w:rPr>
          <w:rFonts w:hint="default"/>
          <w:color w:val="auto"/>
          <w:lang w:val="en-US" w:eastAsia="zh-CN"/>
        </w:rPr>
        <w:t>试点智慧交通管理模式</w:t>
      </w:r>
      <w:r>
        <w:rPr>
          <w:rFonts w:hint="eastAsia"/>
          <w:color w:val="auto"/>
          <w:lang w:val="en-US" w:eastAsia="zh-CN"/>
        </w:rPr>
        <w:t>，</w:t>
      </w:r>
      <w:r>
        <w:rPr>
          <w:rFonts w:hint="default"/>
          <w:color w:val="auto"/>
          <w:lang w:val="en-US" w:eastAsia="zh-CN"/>
        </w:rPr>
        <w:t>采用电子围挡等科技化手段规范共享单车管理。</w:t>
      </w:r>
    </w:p>
    <w:p>
      <w:pPr>
        <w:pStyle w:val="21"/>
        <w:bidi w:val="0"/>
        <w:rPr>
          <w:rFonts w:hint="default"/>
          <w:color w:val="auto"/>
          <w:lang w:val="en-US" w:eastAsia="zh-CN"/>
        </w:rPr>
      </w:pPr>
      <w:r>
        <w:rPr>
          <w:rFonts w:hint="default" w:ascii="Times New Roman" w:hAnsi="Times New Roman" w:cs="Times New Roman"/>
          <w:b/>
          <w:bCs/>
          <w:color w:val="auto"/>
          <w:lang w:val="en-US" w:eastAsia="zh-CN"/>
        </w:rPr>
        <w:t>持续开展人居环境综合整治</w:t>
      </w:r>
      <w:r>
        <w:rPr>
          <w:rFonts w:hint="eastAsia" w:ascii="Times New Roman" w:hAnsi="Times New Roman" w:cs="Times New Roman"/>
          <w:b/>
          <w:bCs/>
          <w:color w:val="auto"/>
          <w:lang w:val="en-US" w:eastAsia="zh-CN"/>
        </w:rPr>
        <w:t>。</w:t>
      </w:r>
      <w:r>
        <w:rPr>
          <w:rFonts w:hint="default"/>
          <w:color w:val="auto"/>
          <w:lang w:val="en-US" w:eastAsia="zh-CN"/>
        </w:rPr>
        <w:t>坚持问题导向</w:t>
      </w:r>
      <w:r>
        <w:rPr>
          <w:rFonts w:hint="eastAsia"/>
          <w:color w:val="auto"/>
          <w:lang w:val="en-US" w:eastAsia="zh-CN"/>
        </w:rPr>
        <w:t>，</w:t>
      </w:r>
      <w:r>
        <w:rPr>
          <w:rFonts w:hint="default"/>
          <w:color w:val="auto"/>
          <w:lang w:val="en-US" w:eastAsia="zh-CN"/>
        </w:rPr>
        <w:t>聚焦薄弱环节</w:t>
      </w:r>
      <w:r>
        <w:rPr>
          <w:rFonts w:hint="eastAsia"/>
          <w:color w:val="auto"/>
          <w:lang w:val="en-US" w:eastAsia="zh-CN"/>
        </w:rPr>
        <w:t>，</w:t>
      </w:r>
      <w:r>
        <w:rPr>
          <w:rFonts w:hint="default"/>
          <w:color w:val="auto"/>
          <w:lang w:val="en-US" w:eastAsia="zh-CN"/>
        </w:rPr>
        <w:t>持续推进环境综合整治</w:t>
      </w:r>
      <w:r>
        <w:rPr>
          <w:rFonts w:hint="eastAsia"/>
          <w:color w:val="auto"/>
          <w:lang w:val="en-US" w:eastAsia="zh-CN"/>
        </w:rPr>
        <w:t>，</w:t>
      </w:r>
      <w:r>
        <w:rPr>
          <w:rFonts w:hint="default"/>
          <w:color w:val="auto"/>
          <w:lang w:val="en-US" w:eastAsia="zh-CN"/>
        </w:rPr>
        <w:t>全力消除人居环境</w:t>
      </w:r>
      <w:r>
        <w:rPr>
          <w:rFonts w:hint="eastAsia"/>
          <w:color w:val="auto"/>
          <w:lang w:val="en-US" w:eastAsia="zh-CN"/>
        </w:rPr>
        <w:t>“</w:t>
      </w:r>
      <w:r>
        <w:rPr>
          <w:rFonts w:hint="default"/>
          <w:color w:val="auto"/>
          <w:lang w:val="en-US" w:eastAsia="zh-CN"/>
        </w:rPr>
        <w:t>脏乱差</w:t>
      </w:r>
      <w:r>
        <w:rPr>
          <w:rFonts w:hint="eastAsia"/>
          <w:color w:val="auto"/>
          <w:lang w:val="en-US" w:eastAsia="zh-CN"/>
        </w:rPr>
        <w:t>”</w:t>
      </w:r>
      <w:r>
        <w:rPr>
          <w:rFonts w:hint="default"/>
          <w:color w:val="auto"/>
          <w:lang w:val="en-US" w:eastAsia="zh-CN"/>
        </w:rPr>
        <w:t>问题</w:t>
      </w:r>
      <w:r>
        <w:rPr>
          <w:rFonts w:hint="eastAsia"/>
          <w:color w:val="auto"/>
          <w:lang w:val="en-US" w:eastAsia="zh-CN"/>
        </w:rPr>
        <w:t>，</w:t>
      </w:r>
      <w:r>
        <w:rPr>
          <w:rFonts w:hint="default"/>
          <w:color w:val="auto"/>
          <w:lang w:val="en-US" w:eastAsia="zh-CN"/>
        </w:rPr>
        <w:t>努力营造干净、整洁、优美的人居环境。</w:t>
      </w:r>
      <w:r>
        <w:rPr>
          <w:rFonts w:hint="default"/>
          <w:b w:val="0"/>
          <w:bCs w:val="0"/>
          <w:color w:val="auto"/>
          <w:lang w:val="en-US" w:eastAsia="zh-CN"/>
        </w:rPr>
        <w:t>治理小街巷脏乱。深入开展治脏、治乱、治堵行动</w:t>
      </w:r>
      <w:r>
        <w:rPr>
          <w:rFonts w:hint="eastAsia"/>
          <w:b w:val="0"/>
          <w:bCs w:val="0"/>
          <w:color w:val="auto"/>
          <w:lang w:val="en-US" w:eastAsia="zh-CN"/>
        </w:rPr>
        <w:t>，</w:t>
      </w:r>
      <w:r>
        <w:rPr>
          <w:rFonts w:hint="default"/>
          <w:b w:val="0"/>
          <w:bCs w:val="0"/>
          <w:color w:val="auto"/>
          <w:lang w:val="en-US" w:eastAsia="zh-CN"/>
        </w:rPr>
        <w:t>整治提升背街小巷</w:t>
      </w:r>
      <w:r>
        <w:rPr>
          <w:rFonts w:hint="eastAsia"/>
          <w:b w:val="0"/>
          <w:bCs w:val="0"/>
          <w:color w:val="auto"/>
          <w:lang w:val="en-US" w:eastAsia="zh-CN"/>
        </w:rPr>
        <w:t>，</w:t>
      </w:r>
      <w:r>
        <w:rPr>
          <w:rFonts w:hint="default"/>
          <w:b w:val="0"/>
          <w:bCs w:val="0"/>
          <w:color w:val="auto"/>
          <w:lang w:val="en-US" w:eastAsia="zh-CN"/>
        </w:rPr>
        <w:t>重点实施乡企城综合改造工程</w:t>
      </w:r>
      <w:r>
        <w:rPr>
          <w:rFonts w:hint="eastAsia"/>
          <w:b w:val="0"/>
          <w:bCs w:val="0"/>
          <w:color w:val="auto"/>
          <w:lang w:val="en-US" w:eastAsia="zh-CN"/>
        </w:rPr>
        <w:t>，</w:t>
      </w:r>
      <w:r>
        <w:rPr>
          <w:rFonts w:hint="default"/>
          <w:b w:val="0"/>
          <w:bCs w:val="0"/>
          <w:color w:val="auto"/>
          <w:lang w:val="en-US" w:eastAsia="zh-CN"/>
        </w:rPr>
        <w:t>全面提升小街巷环卫保洁水平。常态化开展户外广告专项整治及物业小区内垃圾广告整治</w:t>
      </w:r>
      <w:r>
        <w:rPr>
          <w:rFonts w:hint="eastAsia"/>
          <w:b w:val="0"/>
          <w:bCs w:val="0"/>
          <w:color w:val="auto"/>
          <w:lang w:val="en-US" w:eastAsia="zh-CN"/>
        </w:rPr>
        <w:t>，</w:t>
      </w:r>
      <w:r>
        <w:rPr>
          <w:rFonts w:hint="default"/>
          <w:b w:val="0"/>
          <w:bCs w:val="0"/>
          <w:color w:val="auto"/>
          <w:lang w:val="en-US" w:eastAsia="zh-CN"/>
        </w:rPr>
        <w:t>全面清理主次干道沿街立面和屋顶的广告牌</w:t>
      </w:r>
      <w:r>
        <w:rPr>
          <w:rFonts w:hint="eastAsia"/>
          <w:b w:val="0"/>
          <w:bCs w:val="0"/>
          <w:color w:val="auto"/>
          <w:lang w:val="en-US" w:eastAsia="zh-CN"/>
        </w:rPr>
        <w:t>，</w:t>
      </w:r>
      <w:r>
        <w:rPr>
          <w:rFonts w:hint="default"/>
          <w:b w:val="0"/>
          <w:bCs w:val="0"/>
          <w:color w:val="auto"/>
          <w:lang w:val="en-US" w:eastAsia="zh-CN"/>
        </w:rPr>
        <w:t>大力整治未经审批、超期、影响市容观瞻及存在安全隐患的户外广告。实施路域环境整治。全面组织实施以国省干线和高速公路为重点的路域环境整治</w:t>
      </w:r>
      <w:r>
        <w:rPr>
          <w:rFonts w:hint="eastAsia"/>
          <w:b w:val="0"/>
          <w:bCs w:val="0"/>
          <w:color w:val="auto"/>
          <w:lang w:val="en-US" w:eastAsia="zh-CN"/>
        </w:rPr>
        <w:t>，</w:t>
      </w:r>
      <w:r>
        <w:rPr>
          <w:rFonts w:hint="default"/>
          <w:b w:val="0"/>
          <w:bCs w:val="0"/>
          <w:color w:val="auto"/>
          <w:lang w:val="en-US" w:eastAsia="zh-CN"/>
        </w:rPr>
        <w:t>拆除公路建筑控制区内违法建筑和违章搭建</w:t>
      </w:r>
      <w:r>
        <w:rPr>
          <w:rFonts w:hint="eastAsia"/>
          <w:b w:val="0"/>
          <w:bCs w:val="0"/>
          <w:color w:val="auto"/>
          <w:lang w:val="en-US" w:eastAsia="zh-CN"/>
        </w:rPr>
        <w:t>，</w:t>
      </w:r>
      <w:r>
        <w:rPr>
          <w:rFonts w:hint="default"/>
          <w:b w:val="0"/>
          <w:bCs w:val="0"/>
          <w:color w:val="auto"/>
          <w:lang w:val="en-US" w:eastAsia="zh-CN"/>
        </w:rPr>
        <w:t>清理整治320国道等城市出入口沿线可视范围内和穿村镇路段有碍观瞻的乱象。开展城市各类架空管线整治</w:t>
      </w:r>
      <w:r>
        <w:rPr>
          <w:rFonts w:hint="eastAsia"/>
          <w:b w:val="0"/>
          <w:bCs w:val="0"/>
          <w:color w:val="auto"/>
          <w:lang w:val="en-US" w:eastAsia="zh-CN"/>
        </w:rPr>
        <w:t>，</w:t>
      </w:r>
      <w:r>
        <w:rPr>
          <w:rFonts w:hint="default"/>
          <w:b w:val="0"/>
          <w:bCs w:val="0"/>
          <w:color w:val="auto"/>
          <w:lang w:val="en-US" w:eastAsia="zh-CN"/>
        </w:rPr>
        <w:t>结合道路提升改造和建筑立面综合改造项目</w:t>
      </w:r>
      <w:r>
        <w:rPr>
          <w:rFonts w:hint="eastAsia"/>
          <w:b w:val="0"/>
          <w:bCs w:val="0"/>
          <w:color w:val="auto"/>
          <w:lang w:val="en-US" w:eastAsia="zh-CN"/>
        </w:rPr>
        <w:t>，</w:t>
      </w:r>
      <w:r>
        <w:rPr>
          <w:rFonts w:hint="default"/>
          <w:b w:val="0"/>
          <w:bCs w:val="0"/>
          <w:color w:val="auto"/>
          <w:lang w:val="en-US" w:eastAsia="zh-CN"/>
        </w:rPr>
        <w:t>对有条件的道路同步实施架空管线</w:t>
      </w:r>
      <w:r>
        <w:rPr>
          <w:rFonts w:hint="eastAsia"/>
          <w:b w:val="0"/>
          <w:bCs w:val="0"/>
          <w:color w:val="auto"/>
          <w:lang w:val="en-US" w:eastAsia="zh-CN"/>
        </w:rPr>
        <w:t>“</w:t>
      </w:r>
      <w:r>
        <w:rPr>
          <w:rFonts w:hint="default"/>
          <w:b w:val="0"/>
          <w:bCs w:val="0"/>
          <w:color w:val="auto"/>
          <w:lang w:val="en-US" w:eastAsia="zh-CN"/>
        </w:rPr>
        <w:t>上改下</w:t>
      </w:r>
      <w:r>
        <w:rPr>
          <w:rFonts w:hint="eastAsia"/>
          <w:b w:val="0"/>
          <w:bCs w:val="0"/>
          <w:color w:val="auto"/>
          <w:lang w:val="en-US" w:eastAsia="zh-CN"/>
        </w:rPr>
        <w:t>”，</w:t>
      </w:r>
      <w:r>
        <w:rPr>
          <w:rFonts w:hint="default"/>
          <w:b w:val="0"/>
          <w:bCs w:val="0"/>
          <w:color w:val="auto"/>
          <w:lang w:val="en-US" w:eastAsia="zh-CN"/>
        </w:rPr>
        <w:t>逐步消除城市</w:t>
      </w:r>
      <w:r>
        <w:rPr>
          <w:rFonts w:hint="eastAsia"/>
          <w:b w:val="0"/>
          <w:bCs w:val="0"/>
          <w:color w:val="auto"/>
          <w:lang w:val="en-US" w:eastAsia="zh-CN"/>
        </w:rPr>
        <w:t>“</w:t>
      </w:r>
      <w:r>
        <w:rPr>
          <w:rFonts w:hint="default"/>
          <w:b w:val="0"/>
          <w:bCs w:val="0"/>
          <w:color w:val="auto"/>
          <w:lang w:val="en-US" w:eastAsia="zh-CN"/>
        </w:rPr>
        <w:t>蜘蛛网</w:t>
      </w:r>
      <w:r>
        <w:rPr>
          <w:rFonts w:hint="eastAsia"/>
          <w:b w:val="0"/>
          <w:bCs w:val="0"/>
          <w:color w:val="auto"/>
          <w:lang w:val="en-US" w:eastAsia="zh-CN"/>
        </w:rPr>
        <w:t>”</w:t>
      </w:r>
      <w:r>
        <w:rPr>
          <w:rFonts w:hint="default"/>
          <w:b w:val="0"/>
          <w:bCs w:val="0"/>
          <w:color w:val="auto"/>
          <w:lang w:val="en-US" w:eastAsia="zh-CN"/>
        </w:rPr>
        <w:t>现象。推进铁路沿线环境综合治理。持续巩固提升京九铁路、沪昆高铁、南昌西外环铁路等铁路沿线综合环境整治成果</w:t>
      </w:r>
      <w:r>
        <w:rPr>
          <w:rFonts w:hint="eastAsia"/>
          <w:b w:val="0"/>
          <w:bCs w:val="0"/>
          <w:color w:val="auto"/>
          <w:lang w:val="en-US" w:eastAsia="zh-CN"/>
        </w:rPr>
        <w:t>，</w:t>
      </w:r>
      <w:r>
        <w:rPr>
          <w:rFonts w:hint="default"/>
          <w:b w:val="0"/>
          <w:bCs w:val="0"/>
          <w:color w:val="auto"/>
          <w:lang w:val="en-US" w:eastAsia="zh-CN"/>
        </w:rPr>
        <w:t>切实提升铁路沿线长效管理水平</w:t>
      </w:r>
      <w:r>
        <w:rPr>
          <w:rFonts w:hint="eastAsia"/>
          <w:b w:val="0"/>
          <w:bCs w:val="0"/>
          <w:color w:val="auto"/>
          <w:lang w:val="en-US" w:eastAsia="zh-CN"/>
        </w:rPr>
        <w:t>，</w:t>
      </w:r>
      <w:r>
        <w:rPr>
          <w:rFonts w:hint="default"/>
          <w:b w:val="0"/>
          <w:bCs w:val="0"/>
          <w:color w:val="auto"/>
          <w:lang w:val="en-US" w:eastAsia="zh-CN"/>
        </w:rPr>
        <w:t>打造疏朗、生态、大气、整洁、美观的铁路沿线环境。充分尊重场地现状</w:t>
      </w:r>
      <w:r>
        <w:rPr>
          <w:rFonts w:hint="eastAsia"/>
          <w:b w:val="0"/>
          <w:bCs w:val="0"/>
          <w:color w:val="auto"/>
          <w:lang w:val="en-US" w:eastAsia="zh-CN"/>
        </w:rPr>
        <w:t>，</w:t>
      </w:r>
      <w:r>
        <w:rPr>
          <w:rFonts w:hint="default"/>
          <w:b w:val="0"/>
          <w:bCs w:val="0"/>
          <w:color w:val="auto"/>
          <w:lang w:val="en-US" w:eastAsia="zh-CN"/>
        </w:rPr>
        <w:t>以铁路文化为核心</w:t>
      </w:r>
      <w:r>
        <w:rPr>
          <w:rFonts w:hint="eastAsia"/>
          <w:b w:val="0"/>
          <w:bCs w:val="0"/>
          <w:color w:val="auto"/>
          <w:lang w:val="en-US" w:eastAsia="zh-CN"/>
        </w:rPr>
        <w:t>，</w:t>
      </w:r>
      <w:r>
        <w:rPr>
          <w:rFonts w:hint="default"/>
          <w:b w:val="0"/>
          <w:bCs w:val="0"/>
          <w:color w:val="auto"/>
          <w:lang w:val="en-US" w:eastAsia="zh-CN"/>
        </w:rPr>
        <w:t>挖掘街道和铁路的历史文化与景观资源特色内涵</w:t>
      </w:r>
      <w:r>
        <w:rPr>
          <w:rFonts w:hint="eastAsia"/>
          <w:b w:val="0"/>
          <w:bCs w:val="0"/>
          <w:color w:val="auto"/>
          <w:lang w:val="en-US" w:eastAsia="zh-CN"/>
        </w:rPr>
        <w:t>，</w:t>
      </w:r>
      <w:r>
        <w:rPr>
          <w:rFonts w:hint="default"/>
          <w:b w:val="0"/>
          <w:bCs w:val="0"/>
          <w:color w:val="auto"/>
          <w:lang w:val="en-US" w:eastAsia="zh-CN"/>
        </w:rPr>
        <w:t>彰显城市特色精髓</w:t>
      </w:r>
      <w:r>
        <w:rPr>
          <w:rFonts w:hint="eastAsia"/>
          <w:b w:val="0"/>
          <w:bCs w:val="0"/>
          <w:color w:val="auto"/>
          <w:lang w:val="en-US" w:eastAsia="zh-CN"/>
        </w:rPr>
        <w:t>，</w:t>
      </w:r>
      <w:r>
        <w:rPr>
          <w:rFonts w:hint="default"/>
          <w:b w:val="0"/>
          <w:bCs w:val="0"/>
          <w:color w:val="auto"/>
          <w:lang w:val="en-US" w:eastAsia="zh-CN"/>
        </w:rPr>
        <w:t>力争把铁路沿线打造成为花园式铁路长廊。创造慢性休闲绿道</w:t>
      </w:r>
      <w:r>
        <w:rPr>
          <w:rFonts w:hint="eastAsia"/>
          <w:b w:val="0"/>
          <w:bCs w:val="0"/>
          <w:color w:val="auto"/>
          <w:lang w:val="en-US" w:eastAsia="zh-CN"/>
        </w:rPr>
        <w:t>，</w:t>
      </w:r>
      <w:r>
        <w:rPr>
          <w:rFonts w:hint="default"/>
          <w:b w:val="0"/>
          <w:bCs w:val="0"/>
          <w:color w:val="auto"/>
          <w:lang w:val="en-US" w:eastAsia="zh-CN"/>
        </w:rPr>
        <w:t>承载日常散步、健身、骑行等功能</w:t>
      </w:r>
      <w:r>
        <w:rPr>
          <w:rFonts w:hint="eastAsia"/>
          <w:b w:val="0"/>
          <w:bCs w:val="0"/>
          <w:color w:val="auto"/>
          <w:lang w:val="en-US" w:eastAsia="zh-CN"/>
        </w:rPr>
        <w:t>，</w:t>
      </w:r>
      <w:r>
        <w:rPr>
          <w:rFonts w:hint="default"/>
          <w:b w:val="0"/>
          <w:bCs w:val="0"/>
          <w:color w:val="auto"/>
          <w:lang w:val="en-US" w:eastAsia="zh-CN"/>
        </w:rPr>
        <w:t>丰富城市休闲的功能</w:t>
      </w:r>
      <w:r>
        <w:rPr>
          <w:rFonts w:hint="eastAsia"/>
          <w:b w:val="0"/>
          <w:bCs w:val="0"/>
          <w:color w:val="auto"/>
          <w:lang w:val="en-US" w:eastAsia="zh-CN"/>
        </w:rPr>
        <w:t>，</w:t>
      </w:r>
      <w:r>
        <w:rPr>
          <w:rFonts w:hint="default"/>
          <w:b w:val="0"/>
          <w:bCs w:val="0"/>
          <w:color w:val="auto"/>
          <w:lang w:val="en-US" w:eastAsia="zh-CN"/>
        </w:rPr>
        <w:t>并利用生态绿道链接周边的公共开放空间</w:t>
      </w:r>
      <w:r>
        <w:rPr>
          <w:rFonts w:hint="eastAsia"/>
          <w:b w:val="0"/>
          <w:bCs w:val="0"/>
          <w:color w:val="auto"/>
          <w:lang w:val="en-US" w:eastAsia="zh-CN"/>
        </w:rPr>
        <w:t>，</w:t>
      </w:r>
      <w:r>
        <w:rPr>
          <w:rFonts w:hint="default"/>
          <w:b w:val="0"/>
          <w:bCs w:val="0"/>
          <w:color w:val="auto"/>
          <w:lang w:val="en-US" w:eastAsia="zh-CN"/>
        </w:rPr>
        <w:t>打造集生态、休闲、宜行等特色为一体的绿色健康廊道。积极开展</w:t>
      </w:r>
      <w:r>
        <w:rPr>
          <w:rFonts w:hint="eastAsia"/>
          <w:b w:val="0"/>
          <w:bCs w:val="0"/>
          <w:color w:val="auto"/>
          <w:lang w:val="en-US" w:eastAsia="zh-CN"/>
        </w:rPr>
        <w:t>“</w:t>
      </w:r>
      <w:r>
        <w:rPr>
          <w:rFonts w:hint="default"/>
          <w:b w:val="0"/>
          <w:bCs w:val="0"/>
          <w:color w:val="auto"/>
          <w:lang w:val="en-US" w:eastAsia="zh-CN"/>
        </w:rPr>
        <w:t>厕所革命</w:t>
      </w:r>
      <w:r>
        <w:rPr>
          <w:rFonts w:hint="eastAsia"/>
          <w:b w:val="0"/>
          <w:bCs w:val="0"/>
          <w:color w:val="auto"/>
          <w:lang w:val="en-US" w:eastAsia="zh-CN"/>
        </w:rPr>
        <w:t>”</w:t>
      </w:r>
      <w:r>
        <w:rPr>
          <w:rFonts w:hint="default"/>
          <w:b w:val="0"/>
          <w:bCs w:val="0"/>
          <w:color w:val="auto"/>
          <w:lang w:val="en-US" w:eastAsia="zh-CN"/>
        </w:rPr>
        <w:t>。加快新建和改造公厕</w:t>
      </w:r>
      <w:r>
        <w:rPr>
          <w:rFonts w:hint="eastAsia"/>
          <w:b w:val="0"/>
          <w:bCs w:val="0"/>
          <w:color w:val="auto"/>
          <w:lang w:val="en-US" w:eastAsia="zh-CN"/>
        </w:rPr>
        <w:t>，</w:t>
      </w:r>
      <w:r>
        <w:rPr>
          <w:rFonts w:hint="default"/>
          <w:b w:val="0"/>
          <w:bCs w:val="0"/>
          <w:color w:val="auto"/>
          <w:lang w:val="en-US" w:eastAsia="zh-CN"/>
        </w:rPr>
        <w:t>完善公厕服务功能和导向标识牌</w:t>
      </w:r>
      <w:r>
        <w:rPr>
          <w:rFonts w:hint="eastAsia"/>
          <w:b w:val="0"/>
          <w:bCs w:val="0"/>
          <w:color w:val="auto"/>
          <w:lang w:val="en-US" w:eastAsia="zh-CN"/>
        </w:rPr>
        <w:t>，</w:t>
      </w:r>
      <w:r>
        <w:rPr>
          <w:rFonts w:hint="default"/>
          <w:b w:val="0"/>
          <w:bCs w:val="0"/>
          <w:color w:val="auto"/>
          <w:lang w:val="en-US" w:eastAsia="zh-CN"/>
        </w:rPr>
        <w:t>全面推广公厕APP。启动建设标志性、示范性五星级公厕</w:t>
      </w:r>
      <w:r>
        <w:rPr>
          <w:rFonts w:hint="eastAsia"/>
          <w:b w:val="0"/>
          <w:bCs w:val="0"/>
          <w:color w:val="auto"/>
          <w:lang w:val="en-US" w:eastAsia="zh-CN"/>
        </w:rPr>
        <w:t>，</w:t>
      </w:r>
      <w:r>
        <w:rPr>
          <w:rFonts w:hint="default"/>
          <w:b w:val="0"/>
          <w:bCs w:val="0"/>
          <w:color w:val="auto"/>
          <w:lang w:val="en-US" w:eastAsia="zh-CN"/>
        </w:rPr>
        <w:t>积极引导和鼓励社会服务单位厕所对外免费开放。</w:t>
      </w:r>
    </w:p>
    <w:p>
      <w:pPr>
        <w:pStyle w:val="21"/>
        <w:bidi w:val="0"/>
        <w:rPr>
          <w:rFonts w:hint="eastAsia"/>
          <w:color w:val="auto"/>
          <w:lang w:val="en-US" w:eastAsia="zh-CN"/>
        </w:rPr>
      </w:pPr>
      <w:r>
        <w:rPr>
          <w:rFonts w:hint="default" w:ascii="Times New Roman" w:hAnsi="Times New Roman" w:cs="Times New Roman"/>
          <w:b/>
          <w:bCs/>
          <w:color w:val="auto"/>
          <w:lang w:val="en-US" w:eastAsia="zh-CN"/>
        </w:rPr>
        <w:t>全面开展绿色建筑行动</w:t>
      </w:r>
      <w:r>
        <w:rPr>
          <w:rFonts w:hint="eastAsia" w:ascii="Times New Roman" w:hAnsi="Times New Roman" w:cs="Times New Roman"/>
          <w:b/>
          <w:bCs/>
          <w:color w:val="auto"/>
          <w:lang w:val="en-US" w:eastAsia="zh-CN"/>
        </w:rPr>
        <w:t>，</w:t>
      </w:r>
      <w:r>
        <w:rPr>
          <w:rFonts w:hint="eastAsia"/>
          <w:color w:val="auto"/>
          <w:lang w:val="en-US" w:eastAsia="zh-CN"/>
        </w:rPr>
        <w:t>严格落实《南昌市推进绿色建筑发展管理工作实施细则》（2021-2025）（2022修正），建立完善绿色建筑工程建设管理程序和工作机制，推动城镇规划区内新建（改、扩建）民用建筑全面实施绿色建筑建设标准，到2025年，城镇新建建筑全面建成绿色建筑，高品质绿色建筑比例稳步提高。新建公共建筑、新建厂房屋顶光伏面积覆盖率应达到50%，太阳能光伏系统应与建筑同步设计、施工。新建大型公共建筑应实施中水回用技术，国家机关办公建筑和大型公共建筑应设置能耗监测系统，并与省（市）建筑节能监管平台实现能耗数据实时传输。</w:t>
      </w:r>
    </w:p>
    <w:p>
      <w:pPr>
        <w:pStyle w:val="21"/>
        <w:bidi w:val="0"/>
        <w:rPr>
          <w:rFonts w:hint="default"/>
          <w:color w:val="auto"/>
          <w:lang w:val="en-US" w:eastAsia="zh-CN"/>
        </w:rPr>
      </w:pPr>
      <w:r>
        <w:rPr>
          <w:rFonts w:hint="eastAsia" w:ascii="Times New Roman" w:hAnsi="Times New Roman" w:cs="Times New Roman"/>
          <w:b/>
          <w:bCs/>
          <w:color w:val="auto"/>
          <w:lang w:val="en-US" w:eastAsia="zh-CN"/>
        </w:rPr>
        <w:t>全力推进中心村和美丽乡村建设。</w:t>
      </w:r>
      <w:r>
        <w:rPr>
          <w:rFonts w:hint="default"/>
          <w:color w:val="auto"/>
          <w:lang w:val="en-US" w:eastAsia="zh-CN"/>
        </w:rPr>
        <w:t>紧扣中心村和美丽乡村建设</w:t>
      </w:r>
      <w:r>
        <w:rPr>
          <w:rFonts w:hint="eastAsia"/>
          <w:color w:val="auto"/>
          <w:lang w:val="en-US" w:eastAsia="zh-CN"/>
        </w:rPr>
        <w:t>，</w:t>
      </w:r>
      <w:r>
        <w:rPr>
          <w:rFonts w:hint="default"/>
          <w:color w:val="auto"/>
          <w:lang w:val="en-US" w:eastAsia="zh-CN"/>
        </w:rPr>
        <w:t>推进镇村联动和村庄整治</w:t>
      </w:r>
      <w:r>
        <w:rPr>
          <w:rFonts w:hint="eastAsia"/>
          <w:color w:val="auto"/>
          <w:lang w:val="en-US" w:eastAsia="zh-CN"/>
        </w:rPr>
        <w:t>，</w:t>
      </w:r>
      <w:r>
        <w:rPr>
          <w:rFonts w:hint="default"/>
          <w:color w:val="auto"/>
          <w:lang w:val="en-US" w:eastAsia="zh-CN"/>
        </w:rPr>
        <w:t>完善村庄人居环境</w:t>
      </w:r>
      <w:r>
        <w:rPr>
          <w:rFonts w:hint="eastAsia"/>
          <w:color w:val="auto"/>
          <w:lang w:val="en-US" w:eastAsia="zh-CN"/>
        </w:rPr>
        <w:t>，</w:t>
      </w:r>
      <w:r>
        <w:rPr>
          <w:rFonts w:hint="default"/>
          <w:color w:val="auto"/>
          <w:lang w:val="en-US" w:eastAsia="zh-CN"/>
        </w:rPr>
        <w:t>着力建设农民生活的绿色家园、城市居民休闲的美好花园。</w:t>
      </w:r>
      <w:r>
        <w:rPr>
          <w:rFonts w:hint="default"/>
          <w:b w:val="0"/>
          <w:bCs w:val="0"/>
          <w:color w:val="auto"/>
          <w:lang w:val="en-US" w:eastAsia="zh-CN"/>
        </w:rPr>
        <w:t>加快中心村建设。</w:t>
      </w:r>
      <w:r>
        <w:rPr>
          <w:rFonts w:hint="default"/>
          <w:color w:val="auto"/>
          <w:lang w:val="en-US" w:eastAsia="zh-CN"/>
        </w:rPr>
        <w:t>选择夏宇村、曾港村、郡塘村等</w:t>
      </w:r>
      <w:r>
        <w:rPr>
          <w:rFonts w:hint="eastAsia"/>
          <w:color w:val="auto"/>
          <w:lang w:val="en-US" w:eastAsia="zh-CN"/>
        </w:rPr>
        <w:t>，</w:t>
      </w:r>
      <w:r>
        <w:rPr>
          <w:rFonts w:hint="default"/>
          <w:color w:val="auto"/>
          <w:lang w:val="en-US" w:eastAsia="zh-CN"/>
        </w:rPr>
        <w:t>以规划为先导</w:t>
      </w:r>
      <w:r>
        <w:rPr>
          <w:rFonts w:hint="eastAsia"/>
          <w:color w:val="auto"/>
          <w:lang w:val="en-US" w:eastAsia="zh-CN"/>
        </w:rPr>
        <w:t>，</w:t>
      </w:r>
      <w:r>
        <w:rPr>
          <w:rFonts w:hint="default"/>
          <w:color w:val="auto"/>
          <w:lang w:val="en-US" w:eastAsia="zh-CN"/>
        </w:rPr>
        <w:t>采用集镇联中心村、中心村带自然村的</w:t>
      </w:r>
      <w:r>
        <w:rPr>
          <w:rFonts w:hint="eastAsia"/>
          <w:color w:val="auto"/>
          <w:lang w:val="en-US" w:eastAsia="zh-CN"/>
        </w:rPr>
        <w:t>“</w:t>
      </w:r>
      <w:r>
        <w:rPr>
          <w:rFonts w:hint="default"/>
          <w:color w:val="auto"/>
          <w:lang w:val="en-US" w:eastAsia="zh-CN"/>
        </w:rPr>
        <w:t>镇村联动</w:t>
      </w:r>
      <w:r>
        <w:rPr>
          <w:rFonts w:hint="eastAsia"/>
          <w:color w:val="auto"/>
          <w:lang w:val="en-US" w:eastAsia="zh-CN"/>
        </w:rPr>
        <w:t>”</w:t>
      </w:r>
      <w:r>
        <w:rPr>
          <w:rFonts w:hint="default"/>
          <w:color w:val="auto"/>
          <w:lang w:val="en-US" w:eastAsia="zh-CN"/>
        </w:rPr>
        <w:t>模式</w:t>
      </w:r>
      <w:r>
        <w:rPr>
          <w:rFonts w:hint="eastAsia"/>
          <w:color w:val="auto"/>
          <w:lang w:val="en-US" w:eastAsia="zh-CN"/>
        </w:rPr>
        <w:t>，</w:t>
      </w:r>
      <w:r>
        <w:rPr>
          <w:rFonts w:hint="default"/>
          <w:color w:val="auto"/>
          <w:lang w:val="en-US" w:eastAsia="zh-CN"/>
        </w:rPr>
        <w:t>抓好中心村村庄布局、基础设施建设、公共环境建设、公共服务配套、村域经济发展和社会管理创新</w:t>
      </w:r>
      <w:r>
        <w:rPr>
          <w:rFonts w:hint="eastAsia"/>
          <w:color w:val="auto"/>
          <w:lang w:val="en-US" w:eastAsia="zh-CN"/>
        </w:rPr>
        <w:t>，</w:t>
      </w:r>
      <w:r>
        <w:rPr>
          <w:rFonts w:hint="default"/>
          <w:color w:val="auto"/>
          <w:lang w:val="en-US" w:eastAsia="zh-CN"/>
        </w:rPr>
        <w:t>使中心村成为发展环境明显改善、公共服务辐射力和农村经济发展带动力明显增强的居民永久居住点。统筹推进以幼儿园、卫生室、农家书屋、文体活动场所等为重点的中心村公共服务设施建设</w:t>
      </w:r>
      <w:r>
        <w:rPr>
          <w:rFonts w:hint="eastAsia"/>
          <w:color w:val="auto"/>
          <w:lang w:val="en-US" w:eastAsia="zh-CN"/>
        </w:rPr>
        <w:t>，</w:t>
      </w:r>
      <w:r>
        <w:rPr>
          <w:rFonts w:hint="default"/>
          <w:color w:val="auto"/>
          <w:lang w:val="en-US" w:eastAsia="zh-CN"/>
        </w:rPr>
        <w:t>提高公共服务水平。</w:t>
      </w:r>
      <w:r>
        <w:rPr>
          <w:rFonts w:hint="default"/>
          <w:b w:val="0"/>
          <w:bCs w:val="0"/>
          <w:color w:val="auto"/>
          <w:lang w:val="en-US" w:eastAsia="zh-CN"/>
        </w:rPr>
        <w:t>深入推进美丽乡村建设。</w:t>
      </w:r>
      <w:r>
        <w:rPr>
          <w:rFonts w:hint="default"/>
          <w:color w:val="auto"/>
          <w:lang w:val="en-US" w:eastAsia="zh-CN"/>
        </w:rPr>
        <w:t>突出地方特色、文化特色和时代特征</w:t>
      </w:r>
      <w:r>
        <w:rPr>
          <w:rFonts w:hint="eastAsia"/>
          <w:color w:val="auto"/>
          <w:lang w:val="en-US" w:eastAsia="zh-CN"/>
        </w:rPr>
        <w:t>，</w:t>
      </w:r>
      <w:r>
        <w:rPr>
          <w:rFonts w:hint="default"/>
          <w:color w:val="auto"/>
          <w:lang w:val="en-US" w:eastAsia="zh-CN"/>
        </w:rPr>
        <w:t>因地制宜编制</w:t>
      </w:r>
      <w:r>
        <w:rPr>
          <w:rFonts w:hint="eastAsia"/>
          <w:color w:val="auto"/>
          <w:lang w:val="en-US" w:eastAsia="zh-CN"/>
        </w:rPr>
        <w:t>“</w:t>
      </w:r>
      <w:r>
        <w:rPr>
          <w:rFonts w:hint="default"/>
          <w:color w:val="auto"/>
          <w:lang w:val="en-US" w:eastAsia="zh-CN"/>
        </w:rPr>
        <w:t>多规合一</w:t>
      </w:r>
      <w:r>
        <w:rPr>
          <w:rFonts w:hint="eastAsia"/>
          <w:color w:val="auto"/>
          <w:lang w:val="en-US" w:eastAsia="zh-CN"/>
        </w:rPr>
        <w:t>”</w:t>
      </w:r>
      <w:r>
        <w:rPr>
          <w:rFonts w:hint="default"/>
          <w:color w:val="auto"/>
          <w:lang w:val="en-US" w:eastAsia="zh-CN"/>
        </w:rPr>
        <w:t>村庄规划</w:t>
      </w:r>
      <w:r>
        <w:rPr>
          <w:rFonts w:hint="eastAsia"/>
          <w:color w:val="auto"/>
          <w:lang w:val="en-US" w:eastAsia="zh-CN"/>
        </w:rPr>
        <w:t>，</w:t>
      </w:r>
      <w:r>
        <w:rPr>
          <w:rFonts w:hint="default"/>
          <w:color w:val="auto"/>
          <w:lang w:val="en-US" w:eastAsia="zh-CN"/>
        </w:rPr>
        <w:t>保留村庄特有的民居风貌、农业景观、乡土文化</w:t>
      </w:r>
      <w:r>
        <w:rPr>
          <w:rFonts w:hint="eastAsia"/>
          <w:color w:val="auto"/>
          <w:lang w:val="en-US" w:eastAsia="zh-CN"/>
        </w:rPr>
        <w:t>，</w:t>
      </w:r>
      <w:r>
        <w:rPr>
          <w:rFonts w:hint="default"/>
          <w:color w:val="auto"/>
          <w:lang w:val="en-US" w:eastAsia="zh-CN"/>
        </w:rPr>
        <w:t>防止</w:t>
      </w:r>
      <w:r>
        <w:rPr>
          <w:rFonts w:hint="eastAsia"/>
          <w:color w:val="auto"/>
          <w:lang w:val="en-US" w:eastAsia="zh-CN"/>
        </w:rPr>
        <w:t>“</w:t>
      </w:r>
      <w:r>
        <w:rPr>
          <w:rFonts w:hint="default"/>
          <w:color w:val="auto"/>
          <w:lang w:val="en-US" w:eastAsia="zh-CN"/>
        </w:rPr>
        <w:t>千村一面</w:t>
      </w:r>
      <w:r>
        <w:rPr>
          <w:rFonts w:hint="eastAsia"/>
          <w:color w:val="auto"/>
          <w:lang w:val="en-US" w:eastAsia="zh-CN"/>
        </w:rPr>
        <w:t>”</w:t>
      </w:r>
      <w:r>
        <w:rPr>
          <w:rFonts w:hint="default"/>
          <w:color w:val="auto"/>
          <w:lang w:val="en-US" w:eastAsia="zh-CN"/>
        </w:rPr>
        <w:t>。以</w:t>
      </w:r>
      <w:r>
        <w:rPr>
          <w:rFonts w:hint="eastAsia"/>
          <w:color w:val="auto"/>
          <w:lang w:val="en-US" w:eastAsia="zh-CN"/>
        </w:rPr>
        <w:t>“</w:t>
      </w:r>
      <w:r>
        <w:rPr>
          <w:rFonts w:hint="default"/>
          <w:color w:val="auto"/>
          <w:lang w:val="en-US" w:eastAsia="zh-CN"/>
        </w:rPr>
        <w:t>整洁美丽、和谐宜居</w:t>
      </w:r>
      <w:r>
        <w:rPr>
          <w:rFonts w:hint="eastAsia"/>
          <w:color w:val="auto"/>
          <w:lang w:val="en-US" w:eastAsia="zh-CN"/>
        </w:rPr>
        <w:t>”</w:t>
      </w:r>
      <w:r>
        <w:rPr>
          <w:rFonts w:hint="default"/>
          <w:color w:val="auto"/>
          <w:lang w:val="en-US" w:eastAsia="zh-CN"/>
        </w:rPr>
        <w:t>为目标</w:t>
      </w:r>
      <w:r>
        <w:rPr>
          <w:rFonts w:hint="eastAsia"/>
          <w:color w:val="auto"/>
          <w:lang w:val="en-US" w:eastAsia="zh-CN"/>
        </w:rPr>
        <w:t>，</w:t>
      </w:r>
      <w:r>
        <w:rPr>
          <w:rFonts w:hint="default"/>
          <w:color w:val="auto"/>
          <w:lang w:val="en-US" w:eastAsia="zh-CN"/>
        </w:rPr>
        <w:t>大力推进</w:t>
      </w:r>
      <w:r>
        <w:rPr>
          <w:rFonts w:hint="eastAsia"/>
          <w:color w:val="auto"/>
          <w:lang w:val="en-US" w:eastAsia="zh-CN"/>
        </w:rPr>
        <w:t>“</w:t>
      </w:r>
      <w:r>
        <w:rPr>
          <w:rFonts w:hint="default"/>
          <w:color w:val="auto"/>
          <w:lang w:val="en-US" w:eastAsia="zh-CN"/>
        </w:rPr>
        <w:t>四精</w:t>
      </w:r>
      <w:r>
        <w:rPr>
          <w:rFonts w:hint="eastAsia"/>
          <w:color w:val="auto"/>
          <w:lang w:val="en-US" w:eastAsia="zh-CN"/>
        </w:rPr>
        <w:t>”</w:t>
      </w:r>
      <w:r>
        <w:rPr>
          <w:rFonts w:hint="default"/>
          <w:color w:val="auto"/>
          <w:lang w:val="en-US" w:eastAsia="zh-CN"/>
        </w:rPr>
        <w:t>示范</w:t>
      </w:r>
      <w:r>
        <w:rPr>
          <w:rFonts w:hint="eastAsia"/>
          <w:color w:val="auto"/>
          <w:lang w:val="en-US" w:eastAsia="zh-CN"/>
        </w:rPr>
        <w:t>县</w:t>
      </w:r>
      <w:r>
        <w:rPr>
          <w:rFonts w:hint="default"/>
          <w:color w:val="auto"/>
          <w:lang w:val="en-US" w:eastAsia="zh-CN"/>
        </w:rPr>
        <w:t>、</w:t>
      </w:r>
      <w:r>
        <w:rPr>
          <w:rFonts w:hint="eastAsia"/>
          <w:color w:val="auto"/>
          <w:lang w:val="en-US" w:eastAsia="zh-CN"/>
        </w:rPr>
        <w:t>“</w:t>
      </w:r>
      <w:r>
        <w:rPr>
          <w:rFonts w:hint="default"/>
          <w:color w:val="auto"/>
          <w:lang w:val="en-US" w:eastAsia="zh-CN"/>
        </w:rPr>
        <w:t>四精</w:t>
      </w:r>
      <w:r>
        <w:rPr>
          <w:rFonts w:hint="eastAsia"/>
          <w:color w:val="auto"/>
          <w:lang w:val="en-US" w:eastAsia="zh-CN"/>
        </w:rPr>
        <w:t>”</w:t>
      </w:r>
      <w:r>
        <w:rPr>
          <w:rFonts w:hint="default"/>
          <w:color w:val="auto"/>
          <w:lang w:val="en-US" w:eastAsia="zh-CN"/>
        </w:rPr>
        <w:t>试点村庄、</w:t>
      </w:r>
      <w:r>
        <w:rPr>
          <w:rFonts w:hint="eastAsia"/>
          <w:color w:val="auto"/>
          <w:lang w:val="en-US" w:eastAsia="zh-CN"/>
        </w:rPr>
        <w:t>“</w:t>
      </w:r>
      <w:r>
        <w:rPr>
          <w:rFonts w:hint="default"/>
          <w:color w:val="auto"/>
          <w:lang w:val="en-US" w:eastAsia="zh-CN"/>
        </w:rPr>
        <w:t>五位一体</w:t>
      </w:r>
      <w:r>
        <w:rPr>
          <w:rFonts w:hint="eastAsia"/>
          <w:color w:val="auto"/>
          <w:lang w:val="en-US" w:eastAsia="zh-CN"/>
        </w:rPr>
        <w:t>”</w:t>
      </w:r>
      <w:r>
        <w:rPr>
          <w:rFonts w:hint="default"/>
          <w:color w:val="auto"/>
          <w:lang w:val="en-US" w:eastAsia="zh-CN"/>
        </w:rPr>
        <w:t>示范村、新户型示范村以及整村民宿村等精美示范乡村建设。凸显文化风格</w:t>
      </w:r>
      <w:r>
        <w:rPr>
          <w:rFonts w:hint="eastAsia"/>
          <w:color w:val="auto"/>
          <w:lang w:val="en-US" w:eastAsia="zh-CN"/>
        </w:rPr>
        <w:t>，</w:t>
      </w:r>
      <w:r>
        <w:rPr>
          <w:rFonts w:hint="default"/>
          <w:color w:val="auto"/>
          <w:lang w:val="en-US" w:eastAsia="zh-CN"/>
        </w:rPr>
        <w:t>彰显地域特色</w:t>
      </w:r>
      <w:r>
        <w:rPr>
          <w:rFonts w:hint="eastAsia"/>
          <w:color w:val="auto"/>
          <w:lang w:val="en-US" w:eastAsia="zh-CN"/>
        </w:rPr>
        <w:t>，</w:t>
      </w:r>
      <w:r>
        <w:rPr>
          <w:rFonts w:hint="default"/>
          <w:color w:val="auto"/>
          <w:lang w:val="en-US" w:eastAsia="zh-CN"/>
        </w:rPr>
        <w:t>加快打造休闲农业特色村、乡村旅游精品村、滨江旅游度假村、文化艺术村。全面加强乡村规划与管控</w:t>
      </w:r>
      <w:r>
        <w:rPr>
          <w:rFonts w:hint="eastAsia"/>
          <w:color w:val="auto"/>
          <w:lang w:val="en-US" w:eastAsia="zh-CN"/>
        </w:rPr>
        <w:t>，</w:t>
      </w:r>
      <w:r>
        <w:rPr>
          <w:rFonts w:hint="default"/>
          <w:color w:val="auto"/>
          <w:lang w:val="en-US" w:eastAsia="zh-CN"/>
        </w:rPr>
        <w:t>严格农民建房管控</w:t>
      </w:r>
      <w:r>
        <w:rPr>
          <w:rFonts w:hint="eastAsia"/>
          <w:color w:val="auto"/>
          <w:lang w:val="en-US" w:eastAsia="zh-CN"/>
        </w:rPr>
        <w:t>，</w:t>
      </w:r>
      <w:r>
        <w:rPr>
          <w:rFonts w:hint="default"/>
          <w:color w:val="auto"/>
          <w:lang w:val="en-US" w:eastAsia="zh-CN"/>
        </w:rPr>
        <w:t>大力推进空心村整治和空心房改造</w:t>
      </w:r>
      <w:r>
        <w:rPr>
          <w:rFonts w:hint="eastAsia"/>
          <w:color w:val="auto"/>
          <w:lang w:val="en-US" w:eastAsia="zh-CN"/>
        </w:rPr>
        <w:t>，</w:t>
      </w:r>
      <w:r>
        <w:rPr>
          <w:rFonts w:hint="default"/>
          <w:color w:val="auto"/>
          <w:lang w:val="en-US" w:eastAsia="zh-CN"/>
        </w:rPr>
        <w:t>注重延续保护村庄的自然风貌、形态格局、生态环境、传统民居</w:t>
      </w:r>
      <w:r>
        <w:rPr>
          <w:rFonts w:hint="eastAsia"/>
          <w:color w:val="auto"/>
          <w:lang w:val="en-US" w:eastAsia="zh-CN"/>
        </w:rPr>
        <w:t>，</w:t>
      </w:r>
      <w:r>
        <w:rPr>
          <w:rFonts w:hint="default"/>
          <w:color w:val="auto"/>
          <w:lang w:val="en-US" w:eastAsia="zh-CN"/>
        </w:rPr>
        <w:t>切实做到让居民望得见山、看得见水、记得住乡愁。</w:t>
      </w:r>
      <w:r>
        <w:rPr>
          <w:rFonts w:hint="default"/>
          <w:b w:val="0"/>
          <w:bCs w:val="0"/>
          <w:color w:val="auto"/>
          <w:lang w:val="en-US" w:eastAsia="zh-CN"/>
        </w:rPr>
        <w:t>全面改善农村人居环境。</w:t>
      </w:r>
      <w:r>
        <w:rPr>
          <w:rFonts w:hint="default"/>
          <w:color w:val="auto"/>
          <w:lang w:val="en-US" w:eastAsia="zh-CN"/>
        </w:rPr>
        <w:t>连片推进农村人居环境综合治理</w:t>
      </w:r>
      <w:r>
        <w:rPr>
          <w:rFonts w:hint="eastAsia"/>
          <w:color w:val="auto"/>
          <w:lang w:val="en-US" w:eastAsia="zh-CN"/>
        </w:rPr>
        <w:t>，</w:t>
      </w:r>
      <w:r>
        <w:rPr>
          <w:rFonts w:hint="default"/>
          <w:color w:val="auto"/>
          <w:lang w:val="en-US" w:eastAsia="zh-CN"/>
        </w:rPr>
        <w:t>开展村庄和庭院美化</w:t>
      </w:r>
      <w:r>
        <w:rPr>
          <w:rFonts w:hint="eastAsia"/>
          <w:color w:val="auto"/>
          <w:lang w:val="en-US" w:eastAsia="zh-CN"/>
        </w:rPr>
        <w:t>，</w:t>
      </w:r>
      <w:r>
        <w:rPr>
          <w:rFonts w:hint="default"/>
          <w:color w:val="auto"/>
          <w:lang w:val="en-US" w:eastAsia="zh-CN"/>
        </w:rPr>
        <w:t>加快建设管理有序、服务完善、文明祥和的农村社区。进一步完善乡村基础设施</w:t>
      </w:r>
      <w:r>
        <w:rPr>
          <w:rFonts w:hint="eastAsia"/>
          <w:color w:val="auto"/>
          <w:lang w:val="en-US" w:eastAsia="zh-CN"/>
        </w:rPr>
        <w:t>，</w:t>
      </w:r>
      <w:r>
        <w:rPr>
          <w:rFonts w:hint="default"/>
          <w:color w:val="auto"/>
          <w:lang w:val="en-US" w:eastAsia="zh-CN"/>
        </w:rPr>
        <w:t>持续开展农村</w:t>
      </w:r>
      <w:r>
        <w:rPr>
          <w:rFonts w:hint="eastAsia"/>
          <w:color w:val="auto"/>
          <w:lang w:val="en-US" w:eastAsia="zh-CN"/>
        </w:rPr>
        <w:t>“</w:t>
      </w:r>
      <w:r>
        <w:rPr>
          <w:rFonts w:hint="default"/>
          <w:color w:val="auto"/>
          <w:lang w:val="en-US" w:eastAsia="zh-CN"/>
        </w:rPr>
        <w:t>七改三网</w:t>
      </w:r>
      <w:r>
        <w:rPr>
          <w:rFonts w:hint="eastAsia"/>
          <w:color w:val="auto"/>
          <w:lang w:val="en-US" w:eastAsia="zh-CN"/>
        </w:rPr>
        <w:t>”</w:t>
      </w:r>
      <w:r>
        <w:rPr>
          <w:rFonts w:hint="default"/>
          <w:color w:val="auto"/>
          <w:lang w:val="en-US" w:eastAsia="zh-CN"/>
        </w:rPr>
        <w:t>基础设施、</w:t>
      </w:r>
      <w:r>
        <w:rPr>
          <w:rFonts w:hint="eastAsia"/>
          <w:color w:val="auto"/>
          <w:lang w:val="en-US" w:eastAsia="zh-CN"/>
        </w:rPr>
        <w:t>“</w:t>
      </w:r>
      <w:r>
        <w:rPr>
          <w:rFonts w:hint="default"/>
          <w:color w:val="auto"/>
          <w:lang w:val="en-US" w:eastAsia="zh-CN"/>
        </w:rPr>
        <w:t>8+4</w:t>
      </w:r>
      <w:r>
        <w:rPr>
          <w:rFonts w:hint="eastAsia"/>
          <w:color w:val="auto"/>
          <w:lang w:val="en-US" w:eastAsia="zh-CN"/>
        </w:rPr>
        <w:t>”</w:t>
      </w:r>
      <w:r>
        <w:rPr>
          <w:rFonts w:hint="default"/>
          <w:color w:val="auto"/>
          <w:lang w:val="en-US" w:eastAsia="zh-CN"/>
        </w:rPr>
        <w:t>公共服务体系建设</w:t>
      </w:r>
      <w:r>
        <w:rPr>
          <w:rFonts w:hint="eastAsia"/>
          <w:color w:val="auto"/>
          <w:lang w:val="en-US" w:eastAsia="zh-CN"/>
        </w:rPr>
        <w:t>，</w:t>
      </w:r>
      <w:r>
        <w:rPr>
          <w:rFonts w:hint="default"/>
          <w:color w:val="auto"/>
          <w:lang w:val="en-US" w:eastAsia="zh-CN"/>
        </w:rPr>
        <w:t>健全农村基础设施投入长效机制。深入实施农村清洁工程</w:t>
      </w:r>
      <w:r>
        <w:rPr>
          <w:rFonts w:hint="eastAsia"/>
          <w:color w:val="auto"/>
          <w:lang w:val="en-US" w:eastAsia="zh-CN"/>
        </w:rPr>
        <w:t>，</w:t>
      </w:r>
      <w:r>
        <w:rPr>
          <w:rFonts w:hint="default"/>
          <w:color w:val="auto"/>
          <w:lang w:val="en-US" w:eastAsia="zh-CN"/>
        </w:rPr>
        <w:t>加快城乡污水垃圾处理设施建设</w:t>
      </w:r>
      <w:r>
        <w:rPr>
          <w:rFonts w:hint="eastAsia"/>
          <w:color w:val="auto"/>
          <w:lang w:val="en-US" w:eastAsia="zh-CN"/>
        </w:rPr>
        <w:t>，</w:t>
      </w:r>
      <w:r>
        <w:rPr>
          <w:rFonts w:hint="default"/>
          <w:color w:val="auto"/>
          <w:lang w:val="en-US" w:eastAsia="zh-CN"/>
        </w:rPr>
        <w:t>提高农村生活污水垃圾无害化、资源化处理水平。大力开展农村面源污染治理</w:t>
      </w:r>
      <w:r>
        <w:rPr>
          <w:rFonts w:hint="eastAsia"/>
          <w:color w:val="auto"/>
          <w:lang w:val="en-US" w:eastAsia="zh-CN"/>
        </w:rPr>
        <w:t>，</w:t>
      </w:r>
      <w:r>
        <w:rPr>
          <w:rFonts w:hint="default"/>
          <w:color w:val="auto"/>
          <w:lang w:val="en-US" w:eastAsia="zh-CN"/>
        </w:rPr>
        <w:t>全力推进农村</w:t>
      </w:r>
      <w:r>
        <w:rPr>
          <w:rFonts w:hint="eastAsia"/>
          <w:color w:val="auto"/>
          <w:lang w:val="en-US" w:eastAsia="zh-CN"/>
        </w:rPr>
        <w:t>“</w:t>
      </w:r>
      <w:r>
        <w:rPr>
          <w:rFonts w:hint="default"/>
          <w:color w:val="auto"/>
          <w:lang w:val="en-US" w:eastAsia="zh-CN"/>
        </w:rPr>
        <w:t>厕所革命</w:t>
      </w:r>
      <w:r>
        <w:rPr>
          <w:rFonts w:hint="eastAsia"/>
          <w:color w:val="auto"/>
          <w:lang w:val="en-US" w:eastAsia="zh-CN"/>
        </w:rPr>
        <w:t>”，</w:t>
      </w:r>
      <w:r>
        <w:rPr>
          <w:rFonts w:hint="default"/>
          <w:color w:val="auto"/>
          <w:lang w:val="en-US" w:eastAsia="zh-CN"/>
        </w:rPr>
        <w:t>改善农村生态环境。加强农村精神文明建设</w:t>
      </w:r>
      <w:r>
        <w:rPr>
          <w:rFonts w:hint="eastAsia"/>
          <w:color w:val="auto"/>
          <w:lang w:val="en-US" w:eastAsia="zh-CN"/>
        </w:rPr>
        <w:t>，</w:t>
      </w:r>
      <w:r>
        <w:rPr>
          <w:rFonts w:hint="default"/>
          <w:color w:val="auto"/>
          <w:lang w:val="en-US" w:eastAsia="zh-CN"/>
        </w:rPr>
        <w:t>推进移风易俗</w:t>
      </w:r>
      <w:r>
        <w:rPr>
          <w:rFonts w:hint="eastAsia"/>
          <w:color w:val="auto"/>
          <w:lang w:val="en-US" w:eastAsia="zh-CN"/>
        </w:rPr>
        <w:t>，</w:t>
      </w:r>
      <w:r>
        <w:rPr>
          <w:rFonts w:hint="default"/>
          <w:color w:val="auto"/>
          <w:lang w:val="en-US" w:eastAsia="zh-CN"/>
        </w:rPr>
        <w:t>倡导新村新风貌</w:t>
      </w:r>
      <w:r>
        <w:rPr>
          <w:rFonts w:hint="eastAsia"/>
          <w:color w:val="auto"/>
          <w:lang w:val="en-US" w:eastAsia="zh-CN"/>
        </w:rPr>
        <w:t>，</w:t>
      </w:r>
      <w:r>
        <w:rPr>
          <w:rFonts w:hint="default"/>
          <w:color w:val="auto"/>
          <w:lang w:val="en-US" w:eastAsia="zh-CN"/>
        </w:rPr>
        <w:t>营造和谐安宁、淳朴尚善的乡村氛围。</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default" w:ascii="Times New Roman" w:hAnsi="Times New Roman" w:cs="Times New Roman"/>
          <w:color w:val="auto"/>
          <w:lang w:val="en-US" w:eastAsia="zh-CN"/>
        </w:rPr>
      </w:pPr>
      <w:bookmarkStart w:id="281" w:name="_Toc22321"/>
      <w:bookmarkStart w:id="282" w:name="_Toc1128"/>
      <w:bookmarkStart w:id="283" w:name="_Toc1838"/>
      <w:bookmarkStart w:id="284" w:name="_Toc27492"/>
      <w:r>
        <w:rPr>
          <w:rFonts w:hint="eastAsia" w:ascii="Times New Roman" w:hAnsi="Times New Roman" w:cs="Times New Roman"/>
          <w:color w:val="auto"/>
          <w:lang w:val="en-US" w:eastAsia="zh-CN"/>
        </w:rPr>
        <w:t>3.</w:t>
      </w:r>
      <w:r>
        <w:rPr>
          <w:rFonts w:hint="default" w:ascii="Times New Roman" w:hAnsi="Times New Roman" w:cs="Times New Roman"/>
          <w:color w:val="auto"/>
          <w:lang w:val="en-US" w:eastAsia="zh-CN"/>
        </w:rPr>
        <w:t>积极倡导绿色生活方式</w:t>
      </w:r>
      <w:bookmarkEnd w:id="281"/>
      <w:bookmarkEnd w:id="282"/>
      <w:bookmarkEnd w:id="283"/>
      <w:bookmarkEnd w:id="284"/>
    </w:p>
    <w:p>
      <w:pPr>
        <w:pStyle w:val="21"/>
        <w:bidi w:val="0"/>
        <w:rPr>
          <w:rFonts w:hint="default"/>
          <w:color w:val="auto"/>
          <w:lang w:val="en-US" w:eastAsia="zh-CN"/>
        </w:rPr>
      </w:pPr>
      <w:r>
        <w:rPr>
          <w:rFonts w:hint="default"/>
          <w:color w:val="auto"/>
          <w:lang w:val="en-US" w:eastAsia="zh-CN"/>
        </w:rPr>
        <w:t>全面推行绿色生产生活方式</w:t>
      </w:r>
      <w:r>
        <w:rPr>
          <w:rFonts w:hint="eastAsia"/>
          <w:color w:val="auto"/>
          <w:lang w:val="en-US" w:eastAsia="zh-CN"/>
        </w:rPr>
        <w:t>，</w:t>
      </w:r>
      <w:r>
        <w:rPr>
          <w:rFonts w:hint="default"/>
          <w:color w:val="auto"/>
          <w:lang w:val="en-US" w:eastAsia="zh-CN"/>
        </w:rPr>
        <w:t>在各领域和环节贯彻减量化、再利用、资源化</w:t>
      </w:r>
      <w:r>
        <w:rPr>
          <w:rFonts w:hint="eastAsia"/>
          <w:color w:val="auto"/>
          <w:lang w:val="en-US" w:eastAsia="zh-CN"/>
        </w:rPr>
        <w:t>，</w:t>
      </w:r>
      <w:r>
        <w:rPr>
          <w:rFonts w:hint="default"/>
          <w:color w:val="auto"/>
          <w:lang w:val="en-US" w:eastAsia="zh-CN"/>
        </w:rPr>
        <w:t>大幅提高经济绿色化程度。</w:t>
      </w:r>
    </w:p>
    <w:p>
      <w:pPr>
        <w:pStyle w:val="21"/>
        <w:bidi w:val="0"/>
        <w:rPr>
          <w:rFonts w:hint="default"/>
          <w:color w:val="auto"/>
          <w:lang w:val="en-US" w:eastAsia="zh-CN"/>
        </w:rPr>
      </w:pPr>
      <w:r>
        <w:rPr>
          <w:rFonts w:hint="default"/>
          <w:b/>
          <w:bCs/>
          <w:color w:val="auto"/>
          <w:lang w:val="en-US" w:eastAsia="zh-CN"/>
        </w:rPr>
        <w:t>强化资源节约高效利用</w:t>
      </w:r>
      <w:r>
        <w:rPr>
          <w:rFonts w:hint="eastAsia"/>
          <w:b/>
          <w:bCs/>
          <w:color w:val="auto"/>
          <w:lang w:val="en-US" w:eastAsia="zh-CN"/>
        </w:rPr>
        <w:t>。</w:t>
      </w:r>
      <w:r>
        <w:rPr>
          <w:rFonts w:hint="default"/>
          <w:color w:val="auto"/>
          <w:lang w:val="en-US" w:eastAsia="zh-CN"/>
        </w:rPr>
        <w:t>突出总量控制思维</w:t>
      </w:r>
      <w:r>
        <w:rPr>
          <w:rFonts w:hint="eastAsia"/>
          <w:color w:val="auto"/>
          <w:lang w:val="en-US" w:eastAsia="zh-CN"/>
        </w:rPr>
        <w:t>，</w:t>
      </w:r>
      <w:r>
        <w:rPr>
          <w:rFonts w:hint="default"/>
          <w:color w:val="auto"/>
          <w:lang w:val="en-US" w:eastAsia="zh-CN"/>
        </w:rPr>
        <w:t>加强能源消费总量和能耗强度双控制</w:t>
      </w:r>
      <w:r>
        <w:rPr>
          <w:rFonts w:hint="eastAsia"/>
          <w:color w:val="auto"/>
          <w:lang w:val="en-US" w:eastAsia="zh-CN"/>
        </w:rPr>
        <w:t>，</w:t>
      </w:r>
      <w:r>
        <w:rPr>
          <w:rFonts w:hint="default"/>
          <w:color w:val="auto"/>
          <w:lang w:val="en-US" w:eastAsia="zh-CN"/>
        </w:rPr>
        <w:t>调整优化能源结构</w:t>
      </w:r>
      <w:r>
        <w:rPr>
          <w:rFonts w:hint="eastAsia"/>
          <w:color w:val="auto"/>
          <w:lang w:val="en-US" w:eastAsia="zh-CN"/>
        </w:rPr>
        <w:t>，</w:t>
      </w:r>
      <w:r>
        <w:rPr>
          <w:rFonts w:hint="default"/>
          <w:color w:val="auto"/>
          <w:lang w:val="en-US" w:eastAsia="zh-CN"/>
        </w:rPr>
        <w:t>强化电力需求侧管理、合同能源管理等措施。鼓励使用LED高效节能灯</w:t>
      </w:r>
      <w:r>
        <w:rPr>
          <w:rFonts w:hint="eastAsia"/>
          <w:color w:val="auto"/>
          <w:lang w:val="en-US" w:eastAsia="zh-CN"/>
        </w:rPr>
        <w:t>，</w:t>
      </w:r>
      <w:r>
        <w:rPr>
          <w:rFonts w:hint="default"/>
          <w:color w:val="auto"/>
          <w:lang w:val="en-US" w:eastAsia="zh-CN"/>
        </w:rPr>
        <w:t>推广LED高效节能灯在景观照明和亮化工程上的应用。深入推进建筑、交通等重点领域节能</w:t>
      </w:r>
      <w:r>
        <w:rPr>
          <w:rFonts w:hint="eastAsia"/>
          <w:color w:val="auto"/>
          <w:lang w:val="en-US" w:eastAsia="zh-CN"/>
        </w:rPr>
        <w:t>，</w:t>
      </w:r>
      <w:r>
        <w:rPr>
          <w:rFonts w:hint="default"/>
          <w:color w:val="auto"/>
          <w:lang w:val="en-US" w:eastAsia="zh-CN"/>
        </w:rPr>
        <w:t>大力推广太阳能光热等可再生能源在建筑中的应用。稳妥开展</w:t>
      </w:r>
      <w:r>
        <w:rPr>
          <w:rFonts w:hint="eastAsia"/>
          <w:color w:val="auto"/>
          <w:lang w:val="en-US" w:eastAsia="zh-CN"/>
        </w:rPr>
        <w:t>“</w:t>
      </w:r>
      <w:r>
        <w:rPr>
          <w:rFonts w:hint="default"/>
          <w:color w:val="auto"/>
          <w:lang w:val="en-US" w:eastAsia="zh-CN"/>
        </w:rPr>
        <w:t>空心村整治</w:t>
      </w:r>
      <w:r>
        <w:rPr>
          <w:rFonts w:hint="eastAsia"/>
          <w:color w:val="auto"/>
          <w:lang w:val="en-US" w:eastAsia="zh-CN"/>
        </w:rPr>
        <w:t>”，</w:t>
      </w:r>
      <w:r>
        <w:rPr>
          <w:rFonts w:hint="default"/>
          <w:color w:val="auto"/>
          <w:lang w:val="en-US" w:eastAsia="zh-CN"/>
        </w:rPr>
        <w:t>严格限定农村居民点发展方向和范围</w:t>
      </w:r>
      <w:r>
        <w:rPr>
          <w:rFonts w:hint="eastAsia"/>
          <w:color w:val="auto"/>
          <w:lang w:val="en-US" w:eastAsia="zh-CN"/>
        </w:rPr>
        <w:t>，</w:t>
      </w:r>
      <w:r>
        <w:rPr>
          <w:rFonts w:hint="default"/>
          <w:color w:val="auto"/>
          <w:lang w:val="en-US" w:eastAsia="zh-CN"/>
        </w:rPr>
        <w:t>促进农民居住向中心村集中。大力推进节水型社会建设</w:t>
      </w:r>
      <w:r>
        <w:rPr>
          <w:rFonts w:hint="eastAsia"/>
          <w:color w:val="auto"/>
          <w:lang w:val="en-US" w:eastAsia="zh-CN"/>
        </w:rPr>
        <w:t>，</w:t>
      </w:r>
      <w:r>
        <w:rPr>
          <w:rFonts w:hint="default"/>
          <w:color w:val="auto"/>
          <w:lang w:val="en-US" w:eastAsia="zh-CN"/>
        </w:rPr>
        <w:t>完善重点取用水户的水资源管理控制指标</w:t>
      </w:r>
      <w:r>
        <w:rPr>
          <w:rFonts w:hint="eastAsia"/>
          <w:color w:val="auto"/>
          <w:lang w:val="en-US" w:eastAsia="zh-CN"/>
        </w:rPr>
        <w:t>，</w:t>
      </w:r>
      <w:r>
        <w:rPr>
          <w:rFonts w:hint="default"/>
          <w:color w:val="auto"/>
          <w:lang w:val="en-US" w:eastAsia="zh-CN"/>
        </w:rPr>
        <w:t>强化对居民用水节水监督。推广节能节水器具使用。引导新建住宅采用节能节水新技术、新工艺，加强建设节水增效示范项目和节水增效示范小区。</w:t>
      </w:r>
    </w:p>
    <w:p>
      <w:pPr>
        <w:pStyle w:val="21"/>
        <w:bidi w:val="0"/>
        <w:rPr>
          <w:rFonts w:hint="default"/>
          <w:color w:val="auto"/>
          <w:lang w:val="en-US" w:eastAsia="zh-CN"/>
        </w:rPr>
      </w:pPr>
      <w:r>
        <w:rPr>
          <w:rFonts w:hint="default" w:ascii="Times New Roman" w:hAnsi="Times New Roman" w:cs="Times New Roman"/>
          <w:b/>
          <w:bCs/>
          <w:color w:val="auto"/>
          <w:lang w:val="en-US" w:eastAsia="zh-CN"/>
        </w:rPr>
        <w:t>积极倡导绿色生活方式</w:t>
      </w:r>
      <w:r>
        <w:rPr>
          <w:rFonts w:hint="eastAsia" w:ascii="Times New Roman" w:hAnsi="Times New Roman" w:cs="Times New Roman"/>
          <w:b/>
          <w:bCs/>
          <w:color w:val="auto"/>
          <w:lang w:val="en-US" w:eastAsia="zh-CN"/>
        </w:rPr>
        <w:t>。</w:t>
      </w:r>
      <w:r>
        <w:rPr>
          <w:rFonts w:hint="default"/>
          <w:color w:val="auto"/>
          <w:lang w:val="en-US" w:eastAsia="zh-CN"/>
        </w:rPr>
        <w:t>倡导节约粮食</w:t>
      </w:r>
      <w:r>
        <w:rPr>
          <w:rFonts w:hint="eastAsia"/>
          <w:color w:val="auto"/>
          <w:lang w:val="en-US" w:eastAsia="zh-CN"/>
        </w:rPr>
        <w:t>，</w:t>
      </w:r>
      <w:r>
        <w:rPr>
          <w:rFonts w:hint="default"/>
          <w:color w:val="auto"/>
          <w:lang w:val="en-US" w:eastAsia="zh-CN"/>
        </w:rPr>
        <w:t>在全社会开展</w:t>
      </w:r>
      <w:r>
        <w:rPr>
          <w:rFonts w:hint="eastAsia"/>
          <w:color w:val="auto"/>
          <w:lang w:val="en-US" w:eastAsia="zh-CN"/>
        </w:rPr>
        <w:t>“</w:t>
      </w:r>
      <w:r>
        <w:rPr>
          <w:rFonts w:hint="default"/>
          <w:color w:val="auto"/>
          <w:lang w:val="en-US" w:eastAsia="zh-CN"/>
        </w:rPr>
        <w:t>光盘行动</w:t>
      </w:r>
      <w:r>
        <w:rPr>
          <w:rFonts w:hint="eastAsia"/>
          <w:color w:val="auto"/>
          <w:lang w:val="en-US" w:eastAsia="zh-CN"/>
        </w:rPr>
        <w:t>”，</w:t>
      </w:r>
      <w:r>
        <w:rPr>
          <w:rFonts w:hint="default"/>
          <w:color w:val="auto"/>
          <w:lang w:val="en-US" w:eastAsia="zh-CN"/>
        </w:rPr>
        <w:t>拒绝舌尖上的浪费</w:t>
      </w:r>
      <w:r>
        <w:rPr>
          <w:rFonts w:hint="eastAsia"/>
          <w:color w:val="auto"/>
          <w:lang w:val="en-US" w:eastAsia="zh-CN"/>
        </w:rPr>
        <w:t>，</w:t>
      </w:r>
      <w:r>
        <w:rPr>
          <w:rFonts w:hint="default"/>
          <w:color w:val="auto"/>
          <w:lang w:val="en-US" w:eastAsia="zh-CN"/>
        </w:rPr>
        <w:t>营造浪费可耻、节约光荣的社会风尚。倡导绿色消费</w:t>
      </w:r>
      <w:r>
        <w:rPr>
          <w:rFonts w:hint="eastAsia"/>
          <w:color w:val="auto"/>
          <w:lang w:val="en-US" w:eastAsia="zh-CN"/>
        </w:rPr>
        <w:t>，</w:t>
      </w:r>
      <w:r>
        <w:rPr>
          <w:rFonts w:hint="default"/>
          <w:color w:val="auto"/>
          <w:lang w:val="en-US" w:eastAsia="zh-CN"/>
        </w:rPr>
        <w:t>减少使用一次性用品</w:t>
      </w:r>
      <w:r>
        <w:rPr>
          <w:rFonts w:hint="eastAsia"/>
          <w:color w:val="auto"/>
          <w:lang w:val="en-US" w:eastAsia="zh-CN"/>
        </w:rPr>
        <w:t>，</w:t>
      </w:r>
      <w:r>
        <w:rPr>
          <w:rFonts w:hint="default"/>
          <w:color w:val="auto"/>
          <w:lang w:val="en-US" w:eastAsia="zh-CN"/>
        </w:rPr>
        <w:t>抵制过度包装商品</w:t>
      </w:r>
      <w:r>
        <w:rPr>
          <w:rFonts w:hint="eastAsia"/>
          <w:color w:val="auto"/>
          <w:lang w:val="en-US" w:eastAsia="zh-CN"/>
        </w:rPr>
        <w:t>，</w:t>
      </w:r>
      <w:r>
        <w:rPr>
          <w:rFonts w:hint="default"/>
          <w:color w:val="auto"/>
          <w:lang w:val="en-US" w:eastAsia="zh-CN"/>
        </w:rPr>
        <w:t>促进物品循环利用。加快推进</w:t>
      </w:r>
      <w:r>
        <w:rPr>
          <w:rFonts w:hint="eastAsia"/>
          <w:color w:val="auto"/>
          <w:lang w:val="en-US" w:eastAsia="zh-CN"/>
        </w:rPr>
        <w:t>“</w:t>
      </w:r>
      <w:r>
        <w:rPr>
          <w:rFonts w:hint="default"/>
          <w:color w:val="auto"/>
          <w:lang w:val="en-US" w:eastAsia="zh-CN"/>
        </w:rPr>
        <w:t>垃圾分类+资源回收</w:t>
      </w:r>
      <w:r>
        <w:rPr>
          <w:rFonts w:hint="eastAsia"/>
          <w:color w:val="auto"/>
          <w:lang w:val="en-US" w:eastAsia="zh-CN"/>
        </w:rPr>
        <w:t>”，</w:t>
      </w:r>
      <w:r>
        <w:rPr>
          <w:rFonts w:hint="default"/>
          <w:color w:val="auto"/>
          <w:lang w:val="en-US" w:eastAsia="zh-CN"/>
        </w:rPr>
        <w:t>打造</w:t>
      </w:r>
      <w:r>
        <w:rPr>
          <w:rFonts w:hint="eastAsia"/>
          <w:color w:val="auto"/>
          <w:lang w:val="en-US" w:eastAsia="zh-CN"/>
        </w:rPr>
        <w:t>“</w:t>
      </w:r>
      <w:r>
        <w:rPr>
          <w:rFonts w:hint="default"/>
          <w:color w:val="auto"/>
          <w:lang w:val="en-US" w:eastAsia="zh-CN"/>
        </w:rPr>
        <w:t>全品类、全区域、一体化、智慧型</w:t>
      </w:r>
      <w:r>
        <w:rPr>
          <w:rFonts w:hint="eastAsia"/>
          <w:color w:val="auto"/>
          <w:lang w:val="en-US" w:eastAsia="zh-CN"/>
        </w:rPr>
        <w:t>”</w:t>
      </w:r>
      <w:r>
        <w:rPr>
          <w:rFonts w:hint="default"/>
          <w:color w:val="auto"/>
          <w:lang w:val="en-US" w:eastAsia="zh-CN"/>
        </w:rPr>
        <w:t>再生资源回收模式</w:t>
      </w:r>
      <w:r>
        <w:rPr>
          <w:rFonts w:hint="eastAsia"/>
          <w:color w:val="auto"/>
          <w:lang w:val="en-US" w:eastAsia="zh-CN"/>
        </w:rPr>
        <w:t>，</w:t>
      </w:r>
      <w:r>
        <w:rPr>
          <w:rFonts w:hint="default"/>
          <w:color w:val="auto"/>
          <w:lang w:val="en-US" w:eastAsia="zh-CN"/>
        </w:rPr>
        <w:t>完善再生资源回收利用体系。大力推行绿色出行</w:t>
      </w:r>
      <w:r>
        <w:rPr>
          <w:rFonts w:hint="eastAsia"/>
          <w:color w:val="auto"/>
          <w:lang w:val="en-US" w:eastAsia="zh-CN"/>
        </w:rPr>
        <w:t>，</w:t>
      </w:r>
      <w:r>
        <w:rPr>
          <w:rFonts w:hint="default"/>
          <w:color w:val="auto"/>
          <w:lang w:val="en-US" w:eastAsia="zh-CN"/>
        </w:rPr>
        <w:t>倡导公众1公里步行、3公里骑自行车、5公里乘坐公交车。推广绿色环保清洁能源使用</w:t>
      </w:r>
      <w:r>
        <w:rPr>
          <w:rFonts w:hint="eastAsia"/>
          <w:color w:val="auto"/>
          <w:lang w:val="en-US" w:eastAsia="zh-CN"/>
        </w:rPr>
        <w:t>，</w:t>
      </w:r>
      <w:r>
        <w:rPr>
          <w:rFonts w:hint="default"/>
          <w:color w:val="auto"/>
          <w:lang w:val="en-US" w:eastAsia="zh-CN"/>
        </w:rPr>
        <w:t xml:space="preserve">发展和推广电动汽车。加快构建低碳交通运输体系。配合市级交通运输部门加快城市轨道交通、公交专用道、快速公交系统等大容量公共交通基础设施建设。鼓励辖区交通运输企业购买新能源车辆，加快老旧车辆淘汰力度。加大对公共交通补贴力度，优化公共交通线路布局，支持客运场站与公交融合发展，支持建设车辆充电桩。全面实施机动车排放检测与强制维修制度 </w:t>
      </w:r>
      <w:r>
        <w:rPr>
          <w:rFonts w:hint="eastAsia"/>
          <w:color w:val="auto"/>
          <w:lang w:val="en-US" w:eastAsia="zh-CN"/>
        </w:rPr>
        <w:t>（</w:t>
      </w:r>
      <w:r>
        <w:rPr>
          <w:rFonts w:hint="default"/>
          <w:color w:val="auto"/>
          <w:lang w:val="en-US" w:eastAsia="zh-CN"/>
        </w:rPr>
        <w:t>I/M制度</w:t>
      </w:r>
      <w:r>
        <w:rPr>
          <w:rFonts w:hint="eastAsia"/>
          <w:color w:val="auto"/>
          <w:lang w:val="en-US" w:eastAsia="zh-CN"/>
        </w:rPr>
        <w:t>）</w:t>
      </w:r>
      <w:r>
        <w:rPr>
          <w:rFonts w:hint="default"/>
          <w:color w:val="auto"/>
          <w:lang w:val="en-US" w:eastAsia="zh-CN"/>
        </w:rPr>
        <w:t>，建立超标排放机动车闭环管理联防</w:t>
      </w:r>
      <w:r>
        <w:rPr>
          <w:rFonts w:hint="eastAsia"/>
          <w:color w:val="auto"/>
          <w:lang w:val="en-US" w:eastAsia="zh-CN"/>
        </w:rPr>
        <w:t>联</w:t>
      </w:r>
      <w:r>
        <w:rPr>
          <w:rFonts w:hint="default"/>
          <w:color w:val="auto"/>
          <w:lang w:val="en-US" w:eastAsia="zh-CN"/>
        </w:rPr>
        <w:t>控机制。积极开展节能型机关、绿色学校、绿色医院、绿色商场、绿色社区、绿色家庭等创建活动。培育现代殡葬新理念新风尚</w:t>
      </w:r>
      <w:r>
        <w:rPr>
          <w:rFonts w:hint="eastAsia"/>
          <w:color w:val="auto"/>
          <w:lang w:val="en-US" w:eastAsia="zh-CN"/>
        </w:rPr>
        <w:t>，</w:t>
      </w:r>
      <w:r>
        <w:rPr>
          <w:rFonts w:hint="default"/>
          <w:color w:val="auto"/>
          <w:lang w:val="en-US" w:eastAsia="zh-CN"/>
        </w:rPr>
        <w:t>稳步推动绿色殡葬改革。</w:t>
      </w:r>
    </w:p>
    <w:p>
      <w:pPr>
        <w:pStyle w:val="21"/>
        <w:bidi w:val="0"/>
        <w:rPr>
          <w:rFonts w:hint="eastAsia" w:eastAsia="宋体"/>
          <w:color w:val="auto"/>
          <w:lang w:eastAsia="zh-CN"/>
        </w:rPr>
      </w:pPr>
      <w:r>
        <w:rPr>
          <w:rFonts w:hint="default" w:ascii="Times New Roman" w:hAnsi="Times New Roman" w:cs="Times New Roman"/>
          <w:b/>
          <w:bCs/>
          <w:color w:val="auto"/>
          <w:lang w:val="en-US" w:eastAsia="zh-CN"/>
        </w:rPr>
        <w:t>有序推进一次性塑料制品消费减量化</w:t>
      </w:r>
      <w:r>
        <w:rPr>
          <w:rFonts w:hint="eastAsia" w:ascii="Times New Roman" w:hAnsi="Times New Roman" w:cs="Times New Roman"/>
          <w:b/>
          <w:bCs/>
          <w:color w:val="auto"/>
          <w:lang w:val="en-US" w:eastAsia="zh-CN"/>
        </w:rPr>
        <w:t>。</w:t>
      </w:r>
      <w:r>
        <w:rPr>
          <w:rFonts w:hint="eastAsia"/>
          <w:color w:val="auto"/>
          <w:lang w:val="en-US" w:eastAsia="zh-CN"/>
        </w:rPr>
        <w:t>全区建成区范围的商场、超市、药店、书店等场所以及餐饮打包外卖服务和各类展会活动，禁止使用不可降解塑料袋，</w:t>
      </w:r>
      <w:r>
        <w:rPr>
          <w:color w:val="auto"/>
        </w:rPr>
        <w:t>推广使用环保布袋、纸袋等非塑制品，鼓励设置自助式、智慧化投放装置</w:t>
      </w:r>
      <w:r>
        <w:rPr>
          <w:rFonts w:hint="eastAsia"/>
          <w:color w:val="auto"/>
          <w:lang w:eastAsia="zh-CN"/>
        </w:rPr>
        <w:t>，</w:t>
      </w:r>
      <w:r>
        <w:rPr>
          <w:color w:val="auto"/>
        </w:rPr>
        <w:t>推广使用生鲜产品可降解包装膜（袋）</w:t>
      </w:r>
      <w:r>
        <w:rPr>
          <w:rFonts w:hint="eastAsia"/>
          <w:color w:val="auto"/>
          <w:lang w:eastAsia="zh-CN"/>
        </w:rPr>
        <w:t>；</w:t>
      </w:r>
      <w:r>
        <w:rPr>
          <w:rFonts w:hint="eastAsia"/>
          <w:color w:val="auto"/>
          <w:lang w:val="en-US" w:eastAsia="zh-CN"/>
        </w:rPr>
        <w:t>集贸市场规范和限制使用不可降解塑料袋。到2025年底，建成区集贸市场禁止使用不可降解塑料袋。鼓励城乡结合部、乡镇和农村地区集市等场所停止使用不可降解塑料袋。全区党政机关、事业单位、国有企业等单位食堂带头采用</w:t>
      </w:r>
      <w:r>
        <w:rPr>
          <w:color w:val="auto"/>
        </w:rPr>
        <w:t>可降解塑料制品或者非塑料替代品</w:t>
      </w:r>
      <w:r>
        <w:rPr>
          <w:rFonts w:hint="eastAsia"/>
          <w:color w:val="auto"/>
          <w:lang w:val="en-US" w:eastAsia="zh-CN"/>
        </w:rPr>
        <w:t>替代不可降解一次性塑料餐具。全区餐饮行业禁止使用不可降解一次性塑料吸管，全区建成区、景区景点的餐饮堂食服务，禁止使用不可降解一次性塑料餐具，</w:t>
      </w:r>
      <w:r>
        <w:rPr>
          <w:color w:val="auto"/>
        </w:rPr>
        <w:t>推广使用符合性能和食品安全要求的秸秆覆膜餐盒等生物基产品、可降解购物袋等替代产品</w:t>
      </w:r>
      <w:r>
        <w:rPr>
          <w:rFonts w:hint="eastAsia"/>
          <w:color w:val="auto"/>
          <w:lang w:eastAsia="zh-CN"/>
        </w:rPr>
        <w:t>。商业综合体对入驻企业要履行对一次性餐具、一次性打包盒、塑料购物袋使用情况监管责任，并制定一次性塑料制品减量替代实施方案，每年向社会发布执行情况。</w:t>
      </w:r>
      <w:r>
        <w:rPr>
          <w:rFonts w:hint="eastAsia"/>
          <w:color w:val="auto"/>
          <w:lang w:val="en-US" w:eastAsia="zh-CN"/>
        </w:rPr>
        <w:t>全区星级宾馆、酒店等场所不再主动提供一次性塑料用品，通过设置自助购买机、提供续充型洗洁剂等方式为消费者提供相关服务。到2025年底，全市所有宾馆、酒店、民宿均不再主动提供一次性塑料用品。落实邮政行业绿色发展“9792”工程要求，全市快递包装“瘦身胶带”封装比例达到90%，快递企业不再二次包装电商快件率达到70%，快递处理场所循环中转袋使用率达到90%，在邮政快递网点新增建设标准包装废弃物回收装置。引导主要快递企业开展“快递业+回收业”定向合作。到2025年底，力争全区快递网点禁止使用不可降解的塑料包装袋、一次性塑料编织袋等塑料制品。鼓励企业合作建设可循环包装跨平台运营体系、可循环物流配送器具回收体系，鼓励企业使用商品和物流一体化包装。</w:t>
      </w:r>
      <w:r>
        <w:rPr>
          <w:color w:val="auto"/>
        </w:rPr>
        <w:t>开展可降解地膜示范推广，建立可降解地膜推广使用机制</w:t>
      </w:r>
      <w:r>
        <w:rPr>
          <w:rFonts w:hint="eastAsia"/>
          <w:color w:val="auto"/>
          <w:lang w:eastAsia="zh-CN"/>
        </w:rPr>
        <w:t>。</w:t>
      </w:r>
    </w:p>
    <w:p>
      <w:pPr>
        <w:pStyle w:val="21"/>
        <w:bidi w:val="0"/>
        <w:rPr>
          <w:rFonts w:hint="default"/>
          <w:color w:val="auto"/>
          <w:lang w:val="en-US" w:eastAsia="zh-CN"/>
        </w:rPr>
      </w:pPr>
      <w:r>
        <w:rPr>
          <w:rFonts w:hint="default" w:ascii="Times New Roman" w:hAnsi="Times New Roman" w:cs="Times New Roman"/>
          <w:b/>
          <w:bCs/>
          <w:color w:val="auto"/>
          <w:lang w:val="en-US" w:eastAsia="zh-CN"/>
        </w:rPr>
        <w:t>加大绿色采购力度</w:t>
      </w:r>
      <w:r>
        <w:rPr>
          <w:rFonts w:hint="eastAsia" w:ascii="Times New Roman" w:hAnsi="Times New Roman" w:cs="Times New Roman"/>
          <w:b/>
          <w:bCs/>
          <w:color w:val="auto"/>
          <w:lang w:val="en-US" w:eastAsia="zh-CN"/>
        </w:rPr>
        <w:t>。</w:t>
      </w:r>
      <w:r>
        <w:rPr>
          <w:rFonts w:hint="default"/>
          <w:color w:val="auto"/>
          <w:lang w:val="en-US" w:eastAsia="zh-CN"/>
        </w:rPr>
        <w:t>认真落实《关于调整优化节能产品环境标志产品政府采购执行机制的通知》（财库〔2019〕9 号），落实省、市关于绿色采购的政策、规定和要求，实施两型产品采购制度，在采购需求中提出更高的节约资源和保护环境要求，扩大政府采购节能产品范围，提高政府采购中再生产品和再制造产品的比重</w:t>
      </w:r>
      <w:r>
        <w:rPr>
          <w:rFonts w:hint="eastAsia"/>
          <w:color w:val="auto"/>
          <w:lang w:val="en-US" w:eastAsia="zh-CN"/>
        </w:rPr>
        <w:t>，</w:t>
      </w:r>
      <w:r>
        <w:rPr>
          <w:rFonts w:hint="default"/>
          <w:color w:val="auto"/>
          <w:lang w:val="en-US" w:eastAsia="zh-CN"/>
        </w:rPr>
        <w:t>对符合条件的获证产品给予优先待遇，综合考虑节能、节水、环保、循环、低碳、再生、有机等因素，参考相关国家标准、行业标准或团体标准，在采购需求中提出相关绿色采购要求，促进绿色产品推广应用。对政府采购人员进行培训，增强政府采购人员的环保节能意识，确保政府绿色采购比例</w:t>
      </w:r>
      <w:r>
        <w:rPr>
          <w:rFonts w:hint="eastAsia"/>
          <w:color w:val="auto"/>
          <w:lang w:val="en-US" w:eastAsia="zh-CN"/>
        </w:rPr>
        <w:t>不降低</w:t>
      </w:r>
      <w:r>
        <w:rPr>
          <w:rFonts w:hint="default"/>
          <w:color w:val="auto"/>
          <w:lang w:val="en-US" w:eastAsia="zh-CN"/>
        </w:rPr>
        <w:t>。</w:t>
      </w:r>
    </w:p>
    <w:p>
      <w:pPr>
        <w:pStyle w:val="20"/>
        <w:numPr>
          <w:ilvl w:val="1"/>
          <w:numId w:val="0"/>
        </w:numPr>
        <w:bidi w:val="0"/>
        <w:ind w:leftChars="0"/>
        <w:rPr>
          <w:rFonts w:hint="default" w:ascii="仿宋" w:hAnsi="仿宋" w:eastAsia="仿宋" w:cs="仿宋"/>
          <w:color w:val="auto"/>
          <w:lang w:val="en-US" w:eastAsia="zh-CN"/>
        </w:rPr>
      </w:pPr>
      <w:bookmarkStart w:id="285" w:name="_Toc24658"/>
      <w:bookmarkStart w:id="286" w:name="_Toc26167"/>
      <w:bookmarkStart w:id="287" w:name="_Toc13504"/>
      <w:bookmarkStart w:id="288" w:name="_Toc27515"/>
      <w:r>
        <w:rPr>
          <w:rFonts w:hint="eastAsia" w:ascii="仿宋" w:hAnsi="仿宋" w:eastAsia="仿宋" w:cs="仿宋"/>
          <w:color w:val="auto"/>
          <w:lang w:val="en-US" w:eastAsia="zh-CN"/>
        </w:rPr>
        <w:t>（六）生态文化体系建设</w:t>
      </w:r>
      <w:bookmarkEnd w:id="285"/>
      <w:bookmarkEnd w:id="286"/>
      <w:bookmarkEnd w:id="287"/>
      <w:bookmarkEnd w:id="288"/>
    </w:p>
    <w:p>
      <w:pPr>
        <w:pStyle w:val="21"/>
        <w:bidi w:val="0"/>
        <w:rPr>
          <w:rFonts w:hint="default"/>
          <w:color w:val="auto"/>
          <w:lang w:val="en-US" w:eastAsia="zh-CN"/>
        </w:rPr>
      </w:pPr>
      <w:r>
        <w:rPr>
          <w:color w:val="auto"/>
          <w:lang w:val="en-US" w:eastAsia="zh-CN"/>
        </w:rPr>
        <w:t>宣传弘扬生态文化，培育生态载体，开展生态文明宣教，提高全民生</w:t>
      </w:r>
      <w:r>
        <w:rPr>
          <w:rFonts w:hint="eastAsia"/>
          <w:color w:val="auto"/>
          <w:lang w:val="en-US" w:eastAsia="zh-CN"/>
        </w:rPr>
        <w:t xml:space="preserve">态文化素质和生态文明意识。 </w:t>
      </w:r>
      <w:r>
        <w:rPr>
          <w:rFonts w:hint="default"/>
          <w:color w:val="auto"/>
          <w:lang w:val="en-US" w:eastAsia="zh-CN"/>
        </w:rPr>
        <w:t>推动全民积极参与生态文明建设。到20</w:t>
      </w:r>
      <w:r>
        <w:rPr>
          <w:rFonts w:hint="eastAsia"/>
          <w:color w:val="auto"/>
          <w:lang w:val="en-US" w:eastAsia="zh-CN"/>
        </w:rPr>
        <w:t>25</w:t>
      </w:r>
      <w:r>
        <w:rPr>
          <w:rFonts w:hint="default"/>
          <w:color w:val="auto"/>
          <w:lang w:val="en-US" w:eastAsia="zh-CN"/>
        </w:rPr>
        <w:t>年，党政领导干部参加生态文明培训的人数比例保持100%，公众对生态文明建设的满意度、参与度</w:t>
      </w:r>
      <w:r>
        <w:rPr>
          <w:rFonts w:hint="eastAsia"/>
          <w:color w:val="auto"/>
          <w:lang w:val="en-US" w:eastAsia="zh-CN"/>
        </w:rPr>
        <w:t>均不低于85%，到2030年</w:t>
      </w:r>
      <w:r>
        <w:rPr>
          <w:rFonts w:hint="default"/>
          <w:color w:val="auto"/>
          <w:lang w:val="en-US" w:eastAsia="zh-CN"/>
        </w:rPr>
        <w:t>公众对生态文明建设的满意度、参与度</w:t>
      </w:r>
      <w:r>
        <w:rPr>
          <w:rFonts w:hint="eastAsia"/>
          <w:color w:val="auto"/>
          <w:lang w:val="en-US" w:eastAsia="zh-CN"/>
        </w:rPr>
        <w:t>均不低于90%</w:t>
      </w:r>
      <w:r>
        <w:rPr>
          <w:rFonts w:hint="default"/>
          <w:color w:val="auto"/>
          <w:lang w:val="en-US" w:eastAsia="zh-CN"/>
        </w:rPr>
        <w:t>。</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289" w:name="_Toc10649"/>
      <w:bookmarkStart w:id="290" w:name="_Toc27596"/>
      <w:bookmarkStart w:id="291" w:name="_Toc3749"/>
      <w:bookmarkStart w:id="292" w:name="_Toc5303"/>
      <w:r>
        <w:rPr>
          <w:rFonts w:hint="eastAsia" w:ascii="Times New Roman" w:hAnsi="Times New Roman" w:cs="Times New Roman"/>
          <w:color w:val="auto"/>
          <w:lang w:val="en-US" w:eastAsia="zh-CN"/>
        </w:rPr>
        <w:t>1.加强生态文明共建共享</w:t>
      </w:r>
      <w:bookmarkEnd w:id="289"/>
      <w:bookmarkEnd w:id="290"/>
      <w:bookmarkEnd w:id="291"/>
      <w:bookmarkEnd w:id="292"/>
    </w:p>
    <w:p>
      <w:pPr>
        <w:pStyle w:val="21"/>
        <w:bidi w:val="0"/>
        <w:rPr>
          <w:rFonts w:hint="default"/>
          <w:color w:val="auto"/>
          <w:lang w:val="en-US" w:eastAsia="zh-CN"/>
        </w:rPr>
      </w:pPr>
      <w:r>
        <w:rPr>
          <w:rFonts w:hint="default"/>
          <w:b/>
          <w:bCs/>
          <w:color w:val="auto"/>
          <w:lang w:val="en-US" w:eastAsia="zh-CN"/>
        </w:rPr>
        <w:t>推进党政机关生态文明建设</w:t>
      </w:r>
      <w:r>
        <w:rPr>
          <w:rFonts w:hint="eastAsia"/>
          <w:b/>
          <w:bCs/>
          <w:color w:val="auto"/>
          <w:lang w:val="en-US" w:eastAsia="zh-CN"/>
        </w:rPr>
        <w:t>。</w:t>
      </w:r>
      <w:r>
        <w:rPr>
          <w:rFonts w:hint="default"/>
          <w:color w:val="auto"/>
          <w:lang w:val="en-US" w:eastAsia="zh-CN"/>
        </w:rPr>
        <w:t>强化党政机关生态文化培训，引导各级干部建立</w:t>
      </w:r>
      <w:r>
        <w:rPr>
          <w:rFonts w:hint="eastAsia"/>
          <w:color w:val="auto"/>
          <w:lang w:val="en-US" w:eastAsia="zh-CN"/>
        </w:rPr>
        <w:t>“</w:t>
      </w:r>
      <w:r>
        <w:rPr>
          <w:rFonts w:hint="default"/>
          <w:color w:val="auto"/>
          <w:lang w:val="en-US" w:eastAsia="zh-CN"/>
        </w:rPr>
        <w:t>绿色GDP</w:t>
      </w:r>
      <w:r>
        <w:rPr>
          <w:rFonts w:hint="eastAsia"/>
          <w:color w:val="auto"/>
          <w:lang w:val="en-US" w:eastAsia="zh-CN"/>
        </w:rPr>
        <w:t>”</w:t>
      </w:r>
      <w:r>
        <w:rPr>
          <w:rFonts w:hint="default"/>
          <w:color w:val="auto"/>
          <w:lang w:val="en-US" w:eastAsia="zh-CN"/>
        </w:rPr>
        <w:t>观念，树立生态文明政绩观，并逐步扩大生态文化教育培训的覆盖范围，确保党政领导干部参加生态文明培训的人数比例始终维持在100%。在政府机关率先推动办公建筑节能监管体系建设，健全节约能源资源管理制度，强化能耗、水耗等目标管理，提高能源资源利用效率。推行绿色办公，使用循环再生办公用品，推进无纸化办公。推行机关节约文化、垃圾分类等，将节约意识逐步变为每名工作人员的自觉行动，在机关营造科学、绿色、文明、高效的机关文化。</w:t>
      </w:r>
    </w:p>
    <w:p>
      <w:pPr>
        <w:pStyle w:val="21"/>
        <w:bidi w:val="0"/>
        <w:rPr>
          <w:color w:val="auto"/>
        </w:rPr>
      </w:pPr>
      <w:r>
        <w:rPr>
          <w:rFonts w:hint="eastAsia" w:ascii="Times New Roman" w:hAnsi="Times New Roman" w:cs="Times New Roman"/>
          <w:b/>
          <w:bCs/>
          <w:color w:val="auto"/>
          <w:lang w:val="en-US" w:eastAsia="zh-CN"/>
        </w:rPr>
        <w:t>推进学校生态文明建设。</w:t>
      </w:r>
      <w:r>
        <w:rPr>
          <w:rFonts w:hint="eastAsia"/>
          <w:b w:val="0"/>
          <w:bCs w:val="0"/>
          <w:color w:val="auto"/>
          <w:lang w:val="en-US" w:eastAsia="zh-CN"/>
        </w:rPr>
        <w:t>将生态文明教育纳入国民教育体系。</w:t>
      </w:r>
      <w:r>
        <w:rPr>
          <w:rFonts w:hint="eastAsia"/>
          <w:color w:val="auto"/>
          <w:lang w:val="en-US" w:eastAsia="zh-CN"/>
        </w:rPr>
        <w:t>开展生态文明教育，将习近平生态文明思想和生态文明建设纳入学校教育教学活动安排，提升师生生态文明意识，培养青少年生态文明行为习惯，中小学结合课堂教学、专家讲座、实践活动等开展生态文明教育，大学设立生态文明相关专业课程和通识课程。完善生态环境保护学科建设，加大生态环境保护高层次人才培养力度，推进环境保护职业教育发展。积极推进生态文明教育法律规范建设，有力推动全民生态文明教育工作，逐步形成全社会参与生态文明建设的良好局面。将生态文明教育纳入教师业务培训，通过生态文明报告讲座、生态文明教育基地参观、先进院校交流学习等形式提高教师对生态文明的理解。持续开展生态文明进校园主题讲座活动，促进全区教职工积极参与到生态文明建设，把生态教育宣传落实内化为教师自觉自愿的行动。</w:t>
      </w:r>
      <w:r>
        <w:rPr>
          <w:rFonts w:hint="eastAsia"/>
          <w:b w:val="0"/>
          <w:bCs w:val="0"/>
          <w:color w:val="auto"/>
          <w:lang w:val="en-US" w:eastAsia="zh-CN"/>
        </w:rPr>
        <w:t>积极开展生态文化社会实践活动。充分利用“世界环境日”“世界湿地</w:t>
      </w:r>
      <w:r>
        <w:rPr>
          <w:rFonts w:hint="eastAsia"/>
          <w:color w:val="auto"/>
          <w:lang w:val="en-US" w:eastAsia="zh-CN"/>
        </w:rPr>
        <w:t>日”“世界水日”“生物多样性保护日”等纪念日，举办多种形式的生态文明宣教活动。组织、鼓励和支持学生参与课外生态环境保护实践活动，将环保课外实践内容纳入学生综合考评体系。充分发挥研学实践基地、生态环境宣传教育基地、生态环境科普基地等作用，将博物馆、水源保护区、污水固废处理处置设施等作为生态文明教育基地，切实让学生在实践中感受到生态环境保护的重要性，加深青少年对生态文明的兴趣和理解。以“小手拉大手”的方式，学生带动家长、家长带动家庭，将生态文明理念渗入到每个学生和家庭，从而提升全社会的生态意识。</w:t>
      </w:r>
      <w:r>
        <w:rPr>
          <w:rFonts w:hint="eastAsia" w:ascii="宋体" w:hAnsi="宋体" w:eastAsia="宋体" w:cs="宋体"/>
          <w:color w:val="auto"/>
          <w:kern w:val="0"/>
          <w:szCs w:val="24"/>
          <w:lang w:val="en-US" w:eastAsia="zh-CN" w:bidi="ar"/>
        </w:rPr>
        <w:t xml:space="preserve"> </w:t>
      </w:r>
    </w:p>
    <w:p>
      <w:pPr>
        <w:pStyle w:val="21"/>
        <w:bidi w:val="0"/>
        <w:rPr>
          <w:color w:val="auto"/>
        </w:rPr>
      </w:pPr>
      <w:r>
        <w:rPr>
          <w:rFonts w:hint="eastAsia" w:ascii="Times New Roman" w:hAnsi="Times New Roman" w:cs="Times New Roman"/>
          <w:b/>
          <w:bCs/>
          <w:color w:val="auto"/>
          <w:lang w:val="en-US" w:eastAsia="zh-CN"/>
        </w:rPr>
        <w:t>推进企业生态文明建设。</w:t>
      </w:r>
      <w:r>
        <w:rPr>
          <w:rFonts w:hint="eastAsia"/>
          <w:b w:val="0"/>
          <w:bCs w:val="0"/>
          <w:color w:val="auto"/>
          <w:lang w:val="en-US" w:eastAsia="zh-CN"/>
        </w:rPr>
        <w:t>开展企业生态文化教育。</w:t>
      </w:r>
      <w:r>
        <w:rPr>
          <w:rFonts w:hint="eastAsia"/>
          <w:color w:val="auto"/>
          <w:lang w:val="en-US" w:eastAsia="zh-CN"/>
        </w:rPr>
        <w:t>定期组织企业领导和员工参加生态文明培训交流并利用各种渠道进行宣传，要将生态价值观、生态技术作为培训的重要内容，促进企业人员对循环经济、清洁生产、超低排放等生态理念有一定认识并提升相应的工作能力，动员和引导企业积极参与生态价值理念和生态文化传播，主动履行企业环境社会责任。</w:t>
      </w:r>
      <w:r>
        <w:rPr>
          <w:rFonts w:hint="eastAsia"/>
          <w:b w:val="0"/>
          <w:bCs w:val="0"/>
          <w:color w:val="auto"/>
          <w:lang w:val="en-US" w:eastAsia="zh-CN"/>
        </w:rPr>
        <w:t>积极建立绿色企业文化。</w:t>
      </w:r>
      <w:r>
        <w:rPr>
          <w:rFonts w:hint="eastAsia"/>
          <w:color w:val="auto"/>
          <w:lang w:val="en-US" w:eastAsia="zh-CN"/>
        </w:rPr>
        <w:t xml:space="preserve">积极开展清洁生产审核和 </w:t>
      </w:r>
      <w:r>
        <w:rPr>
          <w:rFonts w:hint="default"/>
          <w:color w:val="auto"/>
          <w:lang w:val="en-US" w:eastAsia="zh-CN"/>
        </w:rPr>
        <w:t xml:space="preserve">ISO14000 </w:t>
      </w:r>
      <w:r>
        <w:rPr>
          <w:rFonts w:hint="eastAsia"/>
          <w:color w:val="auto"/>
          <w:lang w:val="en-US" w:eastAsia="zh-CN"/>
        </w:rPr>
        <w:t>环境体系认证，完善企业综合环境管理制度，形成包括决策、设计、采购、生产、运输、服务在内的全过程绿色运行管理模式，打造绿色品牌，增强企业发展后劲和市场竞争能力。建立企业生态环境保护的群众参与机制与志愿者队伍，鼓励员工投身参与企业的生态转型。鼓励排污企业在确保安全的前提下，通过深化环保设施开放、设立企业开放日、建设教育体验场所、开设环保课堂、开展生态文明公益活动等形式，</w:t>
      </w:r>
      <w:r>
        <w:rPr>
          <w:rFonts w:hint="eastAsia" w:ascii="Times New Roman" w:hAnsi="Times New Roman" w:cs="Times New Roman"/>
          <w:b w:val="0"/>
          <w:bCs w:val="0"/>
          <w:color w:val="auto"/>
          <w:lang w:val="en-US" w:eastAsia="zh-CN"/>
        </w:rPr>
        <w:t>参与</w:t>
      </w:r>
      <w:r>
        <w:rPr>
          <w:rFonts w:hint="eastAsia"/>
          <w:color w:val="auto"/>
          <w:lang w:val="en-US" w:eastAsia="zh-CN"/>
        </w:rPr>
        <w:t xml:space="preserve">生态文明宣传教育，向公众提供生态文明宣传教育服务。 </w:t>
      </w:r>
    </w:p>
    <w:p>
      <w:pPr>
        <w:pStyle w:val="21"/>
        <w:bidi w:val="0"/>
        <w:rPr>
          <w:color w:val="auto"/>
        </w:rPr>
      </w:pPr>
      <w:r>
        <w:rPr>
          <w:rFonts w:hint="eastAsia" w:ascii="Times New Roman" w:hAnsi="Times New Roman" w:cs="Times New Roman"/>
          <w:b/>
          <w:bCs/>
          <w:color w:val="auto"/>
          <w:lang w:val="en-US" w:eastAsia="zh-CN"/>
        </w:rPr>
        <w:t>推进乡村生态文明建设。</w:t>
      </w:r>
      <w:r>
        <w:rPr>
          <w:rFonts w:hint="eastAsia"/>
          <w:color w:val="auto"/>
          <w:lang w:val="en-US" w:eastAsia="zh-CN"/>
        </w:rPr>
        <w:t xml:space="preserve">以社会主义核心价值观为引领，加强农村思想文化阵地建设，完善农村公共文化设施，传承提升农村优秀传统文化，开展移风易俗行动。鼓励村民关心生态环境质量，选择保水、节能、循环利用等绿色生活方式，学习了解现代农业、生态农业技术，鼓励村民自发设立民俗文化宣传员，生态环保监督员等，形成推动农村生态文化建设的骨干力量。广泛开展“文明乡镇”“文明村”“文明家庭”“文明户”创建活动，以创建生态村为抓手，着力培育优良家风、文明乡风、淳朴民风，不断提高乡村社会文明程度。 </w:t>
      </w:r>
    </w:p>
    <w:p>
      <w:pPr>
        <w:pStyle w:val="21"/>
        <w:bidi w:val="0"/>
        <w:rPr>
          <w:color w:val="auto"/>
        </w:rPr>
      </w:pPr>
      <w:r>
        <w:rPr>
          <w:rFonts w:hint="eastAsia" w:ascii="Times New Roman" w:hAnsi="Times New Roman" w:cs="Times New Roman"/>
          <w:b/>
          <w:bCs/>
          <w:color w:val="auto"/>
          <w:lang w:val="en-US" w:eastAsia="zh-CN"/>
        </w:rPr>
        <w:t>推进社区生态文明建设。</w:t>
      </w:r>
      <w:r>
        <w:rPr>
          <w:rFonts w:hint="eastAsia"/>
          <w:color w:val="auto"/>
          <w:lang w:val="en-US" w:eastAsia="zh-CN"/>
        </w:rPr>
        <w:t xml:space="preserve">以创建绿色社区为契机建设社区生态文化，针对不同社区类型制定相应规划，广泛邀请居民建言献策，参与共建。采用发放环保手册、开辟报纸专栏、举办社区生态文化展览和主题宣传活动等多种形式，开展绿色生活主题宣传教育，使生态文明理念扎根社区。倡导居民选择绿色生活方式，节约资源、开展绿色消费和绿色出行，形成富有特色的社区绿色文化。提倡培养优良的社区人际关系，倡导互相帮助、互敬互让、热心参与公益活动的和谐人际关系，开展社区明星家庭评选活动，给予一定的奖励，激发居民绿色生活的积极性。 </w:t>
      </w:r>
    </w:p>
    <w:p>
      <w:pPr>
        <w:pStyle w:val="21"/>
        <w:bidi w:val="0"/>
        <w:rPr>
          <w:color w:val="auto"/>
        </w:rPr>
      </w:pPr>
      <w:r>
        <w:rPr>
          <w:rFonts w:hint="eastAsia" w:ascii="Times New Roman" w:hAnsi="Times New Roman" w:cs="Times New Roman"/>
          <w:b/>
          <w:bCs/>
          <w:color w:val="auto"/>
          <w:lang w:val="en-US" w:eastAsia="zh-CN"/>
        </w:rPr>
        <w:t>持续深化绿色创建。</w:t>
      </w:r>
      <w:r>
        <w:rPr>
          <w:rFonts w:hint="eastAsia"/>
          <w:color w:val="auto"/>
          <w:lang w:val="en-US" w:eastAsia="zh-CN"/>
        </w:rPr>
        <w:t>广泛开展节约型机关、绿色社区、绿色家庭、绿色学校、绿色商场、</w:t>
      </w:r>
      <w:r>
        <w:rPr>
          <w:rFonts w:hint="default"/>
          <w:color w:val="auto"/>
          <w:lang w:val="en-US" w:eastAsia="zh-CN"/>
        </w:rPr>
        <w:t>绿色有机农产品基地</w:t>
      </w:r>
      <w:r>
        <w:rPr>
          <w:rFonts w:hint="eastAsia"/>
          <w:color w:val="auto"/>
          <w:lang w:val="en-US" w:eastAsia="zh-CN"/>
        </w:rPr>
        <w:t>等创建行动，广泛宣传推广简约适度、绿色低碳、文明健康的生活理念和生活方式，建立完善绿色生活的相关政策和管理制度，引导全社会践行绿色生产、生活和消费方式，形成崇尚绿色生活的社会氛围。到2025年，</w:t>
      </w:r>
      <w:r>
        <w:rPr>
          <w:rFonts w:hint="default"/>
          <w:color w:val="auto"/>
          <w:lang w:val="en-US" w:eastAsia="zh-CN"/>
        </w:rPr>
        <w:t>绿色有机农产品基地</w:t>
      </w:r>
      <w:r>
        <w:rPr>
          <w:rFonts w:hint="eastAsia"/>
          <w:color w:val="auto"/>
          <w:lang w:val="en-US" w:eastAsia="zh-CN"/>
        </w:rPr>
        <w:t>占比不小于3%，2023年不小于10%。</w:t>
      </w:r>
    </w:p>
    <w:p>
      <w:pPr>
        <w:pStyle w:val="28"/>
        <w:keepNext w:val="0"/>
        <w:keepLines w:val="0"/>
        <w:pageBreakBefore w:val="0"/>
        <w:widowControl/>
        <w:numPr>
          <w:ilvl w:val="1"/>
          <w:numId w:val="0"/>
        </w:numPr>
        <w:kinsoku/>
        <w:wordWrap/>
        <w:overflowPunct/>
        <w:topLinePunct w:val="0"/>
        <w:autoSpaceDE/>
        <w:autoSpaceDN/>
        <w:bidi w:val="0"/>
        <w:adjustRightInd/>
        <w:snapToGrid/>
        <w:ind w:leftChars="0" w:firstLine="562" w:firstLineChars="200"/>
        <w:textAlignment w:val="auto"/>
        <w:rPr>
          <w:rFonts w:hint="eastAsia" w:ascii="Times New Roman" w:hAnsi="Times New Roman" w:cs="Times New Roman"/>
          <w:color w:val="auto"/>
          <w:lang w:val="en-US" w:eastAsia="zh-CN"/>
        </w:rPr>
      </w:pPr>
      <w:bookmarkStart w:id="293" w:name="_Toc21098"/>
      <w:bookmarkStart w:id="294" w:name="_Toc10173"/>
      <w:bookmarkStart w:id="295" w:name="_Toc742"/>
      <w:bookmarkStart w:id="296" w:name="_Toc2080"/>
      <w:r>
        <w:rPr>
          <w:rFonts w:hint="eastAsia" w:ascii="Times New Roman" w:hAnsi="Times New Roman" w:cs="Times New Roman"/>
          <w:color w:val="auto"/>
          <w:lang w:val="en-US" w:eastAsia="zh-CN"/>
        </w:rPr>
        <w:t>2.多途径开展生态文明宣传</w:t>
      </w:r>
      <w:bookmarkEnd w:id="293"/>
      <w:bookmarkEnd w:id="294"/>
      <w:bookmarkEnd w:id="295"/>
      <w:bookmarkEnd w:id="296"/>
      <w:r>
        <w:rPr>
          <w:rFonts w:hint="eastAsia" w:ascii="Times New Roman" w:hAnsi="Times New Roman" w:cs="Times New Roman"/>
          <w:color w:val="auto"/>
          <w:lang w:val="en-US" w:eastAsia="zh-CN"/>
        </w:rPr>
        <w:t xml:space="preserve"> </w:t>
      </w:r>
    </w:p>
    <w:p>
      <w:pPr>
        <w:pStyle w:val="21"/>
        <w:bidi w:val="0"/>
        <w:rPr>
          <w:rFonts w:hint="eastAsia"/>
          <w:color w:val="auto"/>
          <w:lang w:val="en-US" w:eastAsia="zh-CN"/>
        </w:rPr>
      </w:pPr>
      <w:r>
        <w:rPr>
          <w:rFonts w:hint="eastAsia"/>
          <w:color w:val="auto"/>
          <w:lang w:val="en-US" w:eastAsia="zh-CN"/>
        </w:rPr>
        <w:t>紧抓生态文明示范区创建契机，大力宣传习近平生态文明思想。充分利用广播、电视、电影、报纸、网络等多元媒介开展生态文明宣传，并建立、推广微博、微信生态文明建设公众号，在政府公务网和主要报刊杂志上开辟生态文明专栏，定期发布生态文明建设的主要成果、重要计划等信息。强化广告宣传，在红谷滩区主要街道、标志性建筑、公共交通工具、工地围挡等地点，新设或利用已有广告牌、</w:t>
      </w:r>
      <w:r>
        <w:rPr>
          <w:rFonts w:hint="default"/>
          <w:color w:val="auto"/>
          <w:lang w:val="en-US" w:eastAsia="zh-CN"/>
        </w:rPr>
        <w:t>LED</w:t>
      </w:r>
      <w:r>
        <w:rPr>
          <w:rFonts w:hint="eastAsia"/>
          <w:color w:val="auto"/>
          <w:lang w:val="en-US" w:eastAsia="zh-CN"/>
        </w:rPr>
        <w:t>屏及展板等设施，播放生态文明建设公益广告，向本地居民及游客宣传生态文化。利用宣教基地宣传生态文明，通过开展实地体验活动、文字图片和标本展示等多种活动进行生态文明教育。积极举办各类文化活动宣传节能减排、低碳生活和践行生态文明理念，扩大生态文化宣传的覆盖面。</w:t>
      </w:r>
    </w:p>
    <w:p>
      <w:pPr>
        <w:rPr>
          <w:rFonts w:hint="default"/>
          <w:color w:val="auto"/>
          <w:lang w:val="en-US" w:eastAsia="zh-CN"/>
        </w:rPr>
      </w:pPr>
      <w:r>
        <w:rPr>
          <w:rFonts w:hint="eastAsia"/>
          <w:color w:val="auto"/>
          <w:lang w:val="en-US" w:eastAsia="zh-CN"/>
        </w:rPr>
        <w:br w:type="page"/>
      </w:r>
    </w:p>
    <w:p>
      <w:pPr>
        <w:pStyle w:val="19"/>
        <w:bidi w:val="0"/>
        <w:ind w:left="0" w:leftChars="0" w:firstLine="0" w:firstLineChars="0"/>
        <w:rPr>
          <w:rFonts w:hint="default"/>
          <w:color w:val="auto"/>
          <w:lang w:val="en-US" w:eastAsia="zh-CN"/>
        </w:rPr>
      </w:pPr>
      <w:r>
        <w:rPr>
          <w:rFonts w:hint="eastAsia"/>
          <w:color w:val="auto"/>
          <w:lang w:val="en-US" w:eastAsia="zh-CN"/>
        </w:rPr>
        <w:t xml:space="preserve">  </w:t>
      </w:r>
      <w:bookmarkStart w:id="297" w:name="_Toc23083"/>
      <w:bookmarkStart w:id="298" w:name="_Toc23977"/>
      <w:bookmarkStart w:id="299" w:name="_Toc18314"/>
      <w:bookmarkStart w:id="300" w:name="_Toc6185"/>
      <w:r>
        <w:rPr>
          <w:rFonts w:hint="default"/>
          <w:color w:val="auto"/>
          <w:lang w:val="en-US" w:eastAsia="zh-CN"/>
        </w:rPr>
        <w:t>重点工程</w:t>
      </w:r>
      <w:bookmarkEnd w:id="297"/>
      <w:bookmarkEnd w:id="298"/>
      <w:bookmarkEnd w:id="299"/>
      <w:bookmarkEnd w:id="300"/>
    </w:p>
    <w:p>
      <w:pPr>
        <w:pStyle w:val="21"/>
        <w:bidi w:val="0"/>
        <w:rPr>
          <w:rFonts w:hint="eastAsia"/>
          <w:color w:val="auto"/>
          <w:lang w:val="en-US" w:eastAsia="zh-CN"/>
        </w:rPr>
      </w:pPr>
      <w:r>
        <w:rPr>
          <w:rFonts w:hint="eastAsia"/>
          <w:color w:val="auto"/>
          <w:lang w:val="en-US" w:eastAsia="zh-CN"/>
        </w:rPr>
        <w:t>红谷滩区生态文明建设重点工程是实施生态文明建设战略的重要保障，通过重点工程的组织和实施，生态文明示范建设将在经济社会发展、生态环境和人居体系等方面呈现出新的景象。按照红谷滩区生态文明建设示范创建的目标、主要领域和重点任务，对生态安全、生态空间、生态经济、生态生活、生态文化五大体系，提出重点建设工程共62个，其中近期54项、远期8项，预计总投资约299.5732亿元。62个工程中，生态安全建设重点工程12个，生态空间建设重点工程10个，生态经济建设重点工程17个，生态生活建设重点工程20个，生态文化建设重点工程3个。</w:t>
      </w:r>
    </w:p>
    <w:p>
      <w:pPr>
        <w:rPr>
          <w:rFonts w:hint="default"/>
          <w:color w:val="auto"/>
          <w:lang w:val="en-US" w:eastAsia="zh-CN"/>
        </w:rPr>
      </w:pPr>
      <w:r>
        <w:rPr>
          <w:rFonts w:hint="eastAsia"/>
          <w:color w:val="auto"/>
          <w:lang w:val="en-US" w:eastAsia="zh-CN"/>
        </w:rPr>
        <w:br w:type="page"/>
      </w:r>
    </w:p>
    <w:p>
      <w:pPr>
        <w:pStyle w:val="19"/>
        <w:bidi w:val="0"/>
        <w:ind w:left="0" w:leftChars="0" w:firstLine="0" w:firstLineChars="0"/>
        <w:rPr>
          <w:rFonts w:hint="default"/>
          <w:color w:val="auto"/>
          <w:lang w:val="en-US" w:eastAsia="zh-CN"/>
        </w:rPr>
      </w:pPr>
      <w:r>
        <w:rPr>
          <w:rFonts w:hint="eastAsia"/>
          <w:color w:val="auto"/>
          <w:lang w:val="en-US" w:eastAsia="zh-CN"/>
        </w:rPr>
        <w:t xml:space="preserve">  </w:t>
      </w:r>
      <w:bookmarkStart w:id="301" w:name="_Toc20657"/>
      <w:bookmarkStart w:id="302" w:name="_Toc3690"/>
      <w:bookmarkStart w:id="303" w:name="_Toc29498"/>
      <w:bookmarkStart w:id="304" w:name="_Toc27403"/>
      <w:r>
        <w:rPr>
          <w:rFonts w:hint="default"/>
          <w:color w:val="auto"/>
          <w:lang w:val="en-US" w:eastAsia="zh-CN"/>
        </w:rPr>
        <w:t>保障措施</w:t>
      </w:r>
      <w:bookmarkEnd w:id="301"/>
      <w:bookmarkEnd w:id="302"/>
      <w:bookmarkEnd w:id="303"/>
      <w:bookmarkEnd w:id="304"/>
    </w:p>
    <w:p>
      <w:pPr>
        <w:pStyle w:val="20"/>
        <w:numPr>
          <w:ilvl w:val="1"/>
          <w:numId w:val="0"/>
        </w:numPr>
        <w:bidi w:val="0"/>
        <w:ind w:leftChars="0"/>
        <w:rPr>
          <w:rFonts w:hint="default" w:ascii="仿宋" w:hAnsi="仿宋" w:eastAsia="仿宋" w:cs="仿宋"/>
          <w:color w:val="auto"/>
          <w:lang w:val="en-US" w:eastAsia="zh-CN"/>
        </w:rPr>
      </w:pPr>
      <w:bookmarkStart w:id="305" w:name="_Toc32427"/>
      <w:bookmarkStart w:id="306" w:name="_Toc10278"/>
      <w:bookmarkStart w:id="307" w:name="_Toc21471"/>
      <w:bookmarkStart w:id="308" w:name="_Toc28469"/>
      <w:r>
        <w:rPr>
          <w:rFonts w:hint="eastAsia" w:ascii="仿宋" w:hAnsi="仿宋" w:eastAsia="仿宋" w:cs="仿宋"/>
          <w:color w:val="auto"/>
          <w:lang w:val="en-US" w:eastAsia="zh-CN"/>
        </w:rPr>
        <w:t>（一）加强组织保障</w:t>
      </w:r>
      <w:bookmarkEnd w:id="305"/>
      <w:bookmarkEnd w:id="306"/>
      <w:bookmarkEnd w:id="307"/>
      <w:bookmarkEnd w:id="308"/>
    </w:p>
    <w:p>
      <w:pPr>
        <w:pStyle w:val="21"/>
        <w:bidi w:val="0"/>
        <w:rPr>
          <w:rFonts w:hint="eastAsia"/>
          <w:color w:val="auto"/>
          <w:lang w:eastAsia="zh-CN"/>
        </w:rPr>
      </w:pPr>
      <w:r>
        <w:rPr>
          <w:rFonts w:hint="eastAsia"/>
          <w:color w:val="auto"/>
          <w:lang w:val="en-US" w:eastAsia="zh-CN"/>
        </w:rPr>
        <w:t>加强组织领导，</w:t>
      </w:r>
      <w:r>
        <w:rPr>
          <w:rFonts w:hint="eastAsia"/>
          <w:color w:val="auto"/>
          <w:lang w:eastAsia="zh-CN"/>
        </w:rPr>
        <w:t>成立由</w:t>
      </w:r>
      <w:r>
        <w:rPr>
          <w:rFonts w:hint="eastAsia"/>
          <w:color w:val="auto"/>
          <w:lang w:val="en-US" w:eastAsia="zh-CN"/>
        </w:rPr>
        <w:t>红谷滩</w:t>
      </w:r>
      <w:r>
        <w:rPr>
          <w:rFonts w:hint="eastAsia"/>
          <w:color w:val="auto"/>
          <w:lang w:eastAsia="zh-CN"/>
        </w:rPr>
        <w:t>区政府主要领导负责，区相关职能部门、各镇街协调配合的</w:t>
      </w:r>
      <w:r>
        <w:rPr>
          <w:rFonts w:hint="eastAsia"/>
          <w:color w:val="auto"/>
          <w:lang w:val="en-US" w:eastAsia="zh-CN"/>
        </w:rPr>
        <w:t>红谷滩</w:t>
      </w:r>
      <w:r>
        <w:rPr>
          <w:rFonts w:hint="eastAsia"/>
          <w:color w:val="auto"/>
          <w:lang w:eastAsia="zh-CN"/>
        </w:rPr>
        <w:t>区创建</w:t>
      </w:r>
      <w:r>
        <w:rPr>
          <w:rFonts w:hint="eastAsia"/>
          <w:color w:val="auto"/>
          <w:lang w:val="en-US" w:eastAsia="zh-CN"/>
        </w:rPr>
        <w:t>江西省生态文明建设示范县、</w:t>
      </w:r>
      <w:r>
        <w:rPr>
          <w:rFonts w:hint="eastAsia"/>
          <w:color w:val="auto"/>
          <w:lang w:eastAsia="zh-CN"/>
        </w:rPr>
        <w:t>国家生态文明建设示范区工作领导小组，负责生态文明建设规划的组织实施和重大决策的研究制定。</w:t>
      </w:r>
    </w:p>
    <w:p>
      <w:pPr>
        <w:pStyle w:val="21"/>
        <w:bidi w:val="0"/>
        <w:rPr>
          <w:rFonts w:hint="eastAsia"/>
          <w:color w:val="auto"/>
          <w:lang w:eastAsia="zh-CN"/>
        </w:rPr>
      </w:pPr>
      <w:r>
        <w:rPr>
          <w:rFonts w:hint="eastAsia"/>
          <w:color w:val="auto"/>
          <w:lang w:eastAsia="zh-CN"/>
        </w:rPr>
        <w:t>充分发挥创建领导小组牵头总负责、统筹协调作用，根据需要召开会议，听取阶段性汇报，推进全区生态文明创建工作，确保各项政策措施落到实处、见到实效。</w:t>
      </w:r>
    </w:p>
    <w:p>
      <w:pPr>
        <w:pStyle w:val="21"/>
        <w:bidi w:val="0"/>
        <w:rPr>
          <w:rFonts w:hint="eastAsia"/>
          <w:color w:val="auto"/>
          <w:lang w:eastAsia="zh-CN"/>
        </w:rPr>
      </w:pPr>
      <w:r>
        <w:rPr>
          <w:rFonts w:hint="eastAsia"/>
          <w:color w:val="auto"/>
          <w:lang w:eastAsia="zh-CN"/>
        </w:rPr>
        <w:t>领导小组办公室承担组织协调、任务分解、督促检查等工作。建立统筹协调和工作联动机制，凝聚</w:t>
      </w:r>
      <w:r>
        <w:rPr>
          <w:rFonts w:hint="eastAsia"/>
          <w:color w:val="auto"/>
          <w:lang w:val="en-US" w:eastAsia="zh-CN"/>
        </w:rPr>
        <w:t>红谷滩区</w:t>
      </w:r>
      <w:r>
        <w:rPr>
          <w:rFonts w:hint="eastAsia"/>
          <w:color w:val="auto"/>
          <w:lang w:eastAsia="zh-CN"/>
        </w:rPr>
        <w:t>不同部门、乡镇（街道）多主体力量协同实施，动员全社会力量，合力推动</w:t>
      </w:r>
      <w:r>
        <w:rPr>
          <w:rFonts w:hint="default"/>
          <w:color w:val="auto"/>
          <w:lang w:val="en-US" w:eastAsia="zh-CN"/>
        </w:rPr>
        <w:t>江西省生态文明建设示范县、</w:t>
      </w:r>
      <w:r>
        <w:rPr>
          <w:rFonts w:hint="eastAsia"/>
          <w:color w:val="auto"/>
          <w:lang w:eastAsia="zh-CN"/>
        </w:rPr>
        <w:t>国家生态文明建设示范区建设工作。</w:t>
      </w:r>
    </w:p>
    <w:p>
      <w:pPr>
        <w:pStyle w:val="21"/>
        <w:bidi w:val="0"/>
        <w:rPr>
          <w:color w:val="auto"/>
        </w:rPr>
      </w:pPr>
      <w:r>
        <w:rPr>
          <w:rFonts w:hint="eastAsia"/>
          <w:color w:val="auto"/>
          <w:lang w:eastAsia="zh-CN"/>
        </w:rPr>
        <w:t>健全各部门分工负责、齐抓共管的管理体系和运行机制，加快健全完善“党委政府领导、领导小组牵头、部门各司其职、区街分级负责、专家建言献策、公众广泛参与”的生态文明建设工作机制。健全工作例会、进度通报、督查考核等工作制度。</w:t>
      </w:r>
    </w:p>
    <w:p>
      <w:pPr>
        <w:pStyle w:val="20"/>
        <w:numPr>
          <w:ilvl w:val="1"/>
          <w:numId w:val="0"/>
        </w:numPr>
        <w:rPr>
          <w:rFonts w:hint="eastAsia" w:ascii="仿宋" w:hAnsi="仿宋" w:eastAsia="仿宋" w:cs="仿宋"/>
          <w:color w:val="auto"/>
        </w:rPr>
      </w:pPr>
      <w:bookmarkStart w:id="309" w:name="_Toc15215"/>
      <w:bookmarkStart w:id="310" w:name="_Toc28874"/>
      <w:bookmarkStart w:id="311" w:name="_Toc11339"/>
      <w:bookmarkStart w:id="312" w:name="_Toc32477"/>
      <w:bookmarkStart w:id="313" w:name="_Toc16311"/>
      <w:r>
        <w:rPr>
          <w:rFonts w:hint="eastAsia" w:ascii="仿宋" w:hAnsi="仿宋" w:eastAsia="仿宋" w:cs="仿宋"/>
          <w:color w:val="auto"/>
          <w:lang w:val="en-US" w:eastAsia="zh-CN"/>
        </w:rPr>
        <w:t>（二）落实</w:t>
      </w:r>
      <w:r>
        <w:rPr>
          <w:rFonts w:hint="eastAsia" w:ascii="仿宋" w:hAnsi="仿宋" w:eastAsia="仿宋" w:cs="仿宋"/>
          <w:color w:val="auto"/>
        </w:rPr>
        <w:t>制度保障</w:t>
      </w:r>
      <w:bookmarkEnd w:id="309"/>
      <w:bookmarkEnd w:id="310"/>
    </w:p>
    <w:p>
      <w:pPr>
        <w:pStyle w:val="18"/>
        <w:numPr>
          <w:ilvl w:val="1"/>
          <w:numId w:val="0"/>
        </w:numPr>
        <w:bidi w:val="0"/>
        <w:ind w:leftChars="0" w:firstLine="560" w:firstLineChars="200"/>
        <w:rPr>
          <w:rFonts w:hint="eastAsia"/>
          <w:color w:val="auto"/>
          <w:lang w:val="en-US" w:eastAsia="zh-CN"/>
        </w:rPr>
      </w:pPr>
      <w:r>
        <w:rPr>
          <w:color w:val="auto"/>
        </w:rPr>
        <w:t>认真学习贯彻习近平生态文明思想，加快建立适合</w:t>
      </w:r>
      <w:r>
        <w:rPr>
          <w:rFonts w:hint="eastAsia"/>
          <w:color w:val="auto"/>
          <w:lang w:val="en-US" w:eastAsia="zh-CN"/>
        </w:rPr>
        <w:t>红谷滩区</w:t>
      </w:r>
      <w:r>
        <w:rPr>
          <w:color w:val="auto"/>
        </w:rPr>
        <w:t>特色的生态文明制度体系，实行最严格的生态环境环保制度、全面建立资源高效利用制度、健全生态保护和修复制度、严明生态环境保护责任制度。建立以保护生态环境为导向的经济政策。生态文明建设的重大工程和重点项目优先立项，优先保证用地，并在税收等方面给予优惠支持。建立自然资源与环境有偿使用政策，对资源收益者征收资源开发补偿费和生态环境补偿费。推动环境治理和环评管理机制创新，积极探索建立更加符合生态文明建设要求的环境治理机制，把资源消耗、环境损害、生态效益纳入经济社会发展评价体系，建立体现生态文明要求的目标体系、考核办法、奖惩机制，全面提升环境管理水平。</w:t>
      </w:r>
    </w:p>
    <w:p>
      <w:pPr>
        <w:pStyle w:val="20"/>
        <w:numPr>
          <w:ilvl w:val="1"/>
          <w:numId w:val="0"/>
        </w:numPr>
        <w:bidi w:val="0"/>
        <w:ind w:leftChars="0"/>
        <w:rPr>
          <w:rFonts w:hint="default" w:ascii="仿宋" w:hAnsi="仿宋" w:eastAsia="仿宋" w:cs="仿宋"/>
          <w:color w:val="auto"/>
          <w:lang w:val="en-US" w:eastAsia="zh-CN"/>
        </w:rPr>
      </w:pPr>
      <w:bookmarkStart w:id="314" w:name="_Toc27266"/>
      <w:bookmarkStart w:id="315" w:name="_Toc18354"/>
      <w:r>
        <w:rPr>
          <w:rFonts w:hint="eastAsia" w:ascii="仿宋" w:hAnsi="仿宋" w:eastAsia="仿宋" w:cs="仿宋"/>
          <w:color w:val="auto"/>
          <w:lang w:val="en-US" w:eastAsia="zh-CN"/>
        </w:rPr>
        <w:t>（三）实施监督保障</w:t>
      </w:r>
      <w:bookmarkEnd w:id="311"/>
      <w:bookmarkEnd w:id="312"/>
      <w:bookmarkEnd w:id="314"/>
      <w:bookmarkEnd w:id="315"/>
    </w:p>
    <w:p>
      <w:pPr>
        <w:pStyle w:val="21"/>
        <w:bidi w:val="0"/>
        <w:rPr>
          <w:rFonts w:hint="default"/>
          <w:color w:val="auto"/>
          <w:lang w:val="en-US" w:eastAsia="zh-CN"/>
        </w:rPr>
      </w:pPr>
      <w:r>
        <w:rPr>
          <w:rFonts w:hint="default"/>
          <w:color w:val="auto"/>
          <w:lang w:val="en-US" w:eastAsia="zh-CN"/>
        </w:rPr>
        <w:t>领导小组办公室将生态文明建设指标和任务分解落实到各部门，形成目标分解体系和责任落实体系</w:t>
      </w:r>
      <w:r>
        <w:rPr>
          <w:rFonts w:hint="eastAsia"/>
          <w:color w:val="auto"/>
          <w:lang w:val="en-US" w:eastAsia="zh-CN"/>
        </w:rPr>
        <w:t>，</w:t>
      </w:r>
      <w:r>
        <w:rPr>
          <w:rFonts w:hint="default"/>
          <w:color w:val="auto"/>
          <w:lang w:val="en-US" w:eastAsia="zh-CN"/>
        </w:rPr>
        <w:t>将提出的任务和目标层层分解到各单位，件件落实到负责人，形成覆盖</w:t>
      </w:r>
      <w:r>
        <w:rPr>
          <w:rFonts w:hint="eastAsia"/>
          <w:color w:val="auto"/>
          <w:lang w:val="en-US" w:eastAsia="zh-CN"/>
        </w:rPr>
        <w:t>区</w:t>
      </w:r>
      <w:r>
        <w:rPr>
          <w:rFonts w:hint="default"/>
          <w:color w:val="auto"/>
          <w:lang w:val="en-US" w:eastAsia="zh-CN"/>
        </w:rPr>
        <w:t>、乡镇（街道）和社会公众参与的考核体系。</w:t>
      </w:r>
    </w:p>
    <w:p>
      <w:pPr>
        <w:pStyle w:val="21"/>
        <w:bidi w:val="0"/>
        <w:rPr>
          <w:rFonts w:hint="eastAsia" w:ascii="仿宋" w:hAnsi="仿宋" w:cs="仿宋"/>
          <w:color w:val="auto"/>
          <w:lang w:val="en-US" w:eastAsia="zh-CN"/>
        </w:rPr>
      </w:pPr>
      <w:r>
        <w:rPr>
          <w:rFonts w:hint="eastAsia" w:ascii="仿宋" w:hAnsi="仿宋" w:cs="仿宋"/>
          <w:color w:val="auto"/>
          <w:lang w:val="en-US" w:eastAsia="zh-CN"/>
        </w:rPr>
        <w:t>加强生态文明建设重点任务的动态监测和跟踪分析，对完成情况进行严格督促检查。领导小组办公室每年对规划指标完成情况进行监督检查、跟踪分析与评估，并将评估结果向区委、区政府汇报，督促各级各部门有效落实生态文明建设任务，保障创建相关工作顺利开展。</w:t>
      </w:r>
    </w:p>
    <w:p>
      <w:pPr>
        <w:pStyle w:val="21"/>
        <w:bidi w:val="0"/>
        <w:rPr>
          <w:rFonts w:hint="default"/>
          <w:color w:val="auto"/>
          <w:lang w:val="en-US" w:eastAsia="zh-CN"/>
        </w:rPr>
      </w:pPr>
      <w:r>
        <w:rPr>
          <w:rFonts w:hint="default"/>
          <w:color w:val="auto"/>
          <w:lang w:val="en-US" w:eastAsia="zh-CN"/>
        </w:rPr>
        <w:t>加强公众监督，建立公众参与的评价机制，全面分析检查规划实施效果及各项政策措施落实情况，及时提出改进意见，总结凝练新经验。建立</w:t>
      </w:r>
      <w:r>
        <w:rPr>
          <w:rFonts w:hint="eastAsia"/>
          <w:color w:val="auto"/>
          <w:lang w:val="en-US" w:eastAsia="zh-CN"/>
        </w:rPr>
        <w:t>“</w:t>
      </w:r>
      <w:r>
        <w:rPr>
          <w:rFonts w:hint="default"/>
          <w:color w:val="auto"/>
          <w:lang w:val="en-US" w:eastAsia="zh-CN"/>
        </w:rPr>
        <w:t>属地管理、分级负责、全面覆盖、责任到人</w:t>
      </w:r>
      <w:r>
        <w:rPr>
          <w:rFonts w:hint="eastAsia"/>
          <w:color w:val="auto"/>
          <w:lang w:val="en-US" w:eastAsia="zh-CN"/>
        </w:rPr>
        <w:t>”</w:t>
      </w:r>
      <w:r>
        <w:rPr>
          <w:rFonts w:hint="default"/>
          <w:color w:val="auto"/>
          <w:lang w:val="en-US" w:eastAsia="zh-CN"/>
        </w:rPr>
        <w:t>的网格化环保监管体系。</w:t>
      </w:r>
    </w:p>
    <w:p>
      <w:pPr>
        <w:pStyle w:val="20"/>
        <w:numPr>
          <w:ilvl w:val="1"/>
          <w:numId w:val="0"/>
        </w:numPr>
        <w:bidi w:val="0"/>
        <w:ind w:leftChars="0"/>
        <w:rPr>
          <w:rFonts w:hint="default" w:ascii="仿宋" w:hAnsi="仿宋" w:eastAsia="仿宋" w:cs="仿宋"/>
          <w:color w:val="auto"/>
          <w:lang w:val="en-US" w:eastAsia="zh-CN"/>
        </w:rPr>
      </w:pPr>
      <w:bookmarkStart w:id="316" w:name="_Toc18399"/>
      <w:bookmarkStart w:id="317" w:name="_Toc28005"/>
      <w:bookmarkStart w:id="318" w:name="_Toc5757"/>
      <w:bookmarkStart w:id="319" w:name="_Toc11555"/>
      <w:r>
        <w:rPr>
          <w:rFonts w:hint="eastAsia" w:ascii="仿宋" w:hAnsi="仿宋" w:eastAsia="仿宋" w:cs="仿宋"/>
          <w:color w:val="auto"/>
          <w:lang w:val="en-US" w:eastAsia="zh-CN"/>
        </w:rPr>
        <w:t>（四）加大资金</w:t>
      </w:r>
      <w:r>
        <w:rPr>
          <w:rFonts w:hint="default" w:ascii="仿宋" w:hAnsi="仿宋" w:eastAsia="仿宋" w:cs="仿宋"/>
          <w:color w:val="auto"/>
          <w:lang w:val="en-US" w:eastAsia="zh-CN"/>
        </w:rPr>
        <w:t>保障</w:t>
      </w:r>
      <w:bookmarkEnd w:id="313"/>
      <w:bookmarkEnd w:id="316"/>
      <w:bookmarkEnd w:id="317"/>
      <w:bookmarkEnd w:id="318"/>
      <w:bookmarkEnd w:id="319"/>
    </w:p>
    <w:p>
      <w:pPr>
        <w:pStyle w:val="21"/>
        <w:bidi w:val="0"/>
        <w:rPr>
          <w:color w:val="auto"/>
          <w:lang w:val="en-US" w:eastAsia="zh-CN"/>
        </w:rPr>
      </w:pPr>
      <w:r>
        <w:rPr>
          <w:color w:val="auto"/>
          <w:lang w:val="en-US" w:eastAsia="zh-CN"/>
        </w:rPr>
        <w:t>设立</w:t>
      </w:r>
      <w:r>
        <w:rPr>
          <w:rFonts w:hint="eastAsia"/>
          <w:color w:val="auto"/>
          <w:lang w:val="en-US" w:eastAsia="zh-CN"/>
        </w:rPr>
        <w:t>红谷滩区</w:t>
      </w:r>
      <w:r>
        <w:rPr>
          <w:color w:val="auto"/>
          <w:lang w:val="en-US" w:eastAsia="zh-CN"/>
        </w:rPr>
        <w:t>生态文明发展专项资金，保障该项资金逐</w:t>
      </w:r>
      <w:r>
        <w:rPr>
          <w:rFonts w:hint="eastAsia"/>
          <w:color w:val="auto"/>
          <w:lang w:val="en-US" w:eastAsia="zh-CN"/>
        </w:rPr>
        <w:t>年增加。积极争取中央、江西省、南昌市预算内资金等专项资金对生态文明建设重大技术示范项目和产业化项目给予支持。充分发挥国家和江西省</w:t>
      </w:r>
      <w:r>
        <w:rPr>
          <w:color w:val="auto"/>
          <w:lang w:val="en-US" w:eastAsia="zh-CN"/>
        </w:rPr>
        <w:t>财政资金的导向作用，推进</w:t>
      </w:r>
      <w:r>
        <w:rPr>
          <w:rFonts w:hint="eastAsia"/>
          <w:color w:val="auto"/>
          <w:lang w:val="en-US" w:eastAsia="zh-CN"/>
        </w:rPr>
        <w:t>红谷滩区</w:t>
      </w:r>
      <w:r>
        <w:rPr>
          <w:rFonts w:hint="default"/>
          <w:color w:val="auto"/>
          <w:lang w:val="en-US" w:eastAsia="zh-CN"/>
        </w:rPr>
        <w:t>江西省生态文明建设示范县、</w:t>
      </w:r>
      <w:r>
        <w:rPr>
          <w:color w:val="auto"/>
          <w:lang w:val="en-US" w:eastAsia="zh-CN"/>
        </w:rPr>
        <w:t>国家生态文明建设示范区建设。</w:t>
      </w:r>
    </w:p>
    <w:p>
      <w:pPr>
        <w:pStyle w:val="21"/>
        <w:bidi w:val="0"/>
        <w:rPr>
          <w:rFonts w:hint="eastAsia"/>
          <w:color w:val="auto"/>
          <w:lang w:val="en-US" w:eastAsia="zh-CN"/>
        </w:rPr>
      </w:pPr>
      <w:r>
        <w:rPr>
          <w:rFonts w:hint="eastAsia"/>
          <w:color w:val="auto"/>
          <w:lang w:val="en-US" w:eastAsia="zh-CN"/>
        </w:rPr>
        <w:t>将重点项目优先纳入发展计划和投资预算，积极推进生态文明创建进程。进一步拓宽多元化融资渠道，鼓励不同经济成分和各类投资主体，以多种形式参与生态文明建设。</w:t>
      </w:r>
      <w:r>
        <w:rPr>
          <w:color w:val="auto"/>
          <w:lang w:val="en-US" w:eastAsia="zh-CN"/>
        </w:rPr>
        <w:t>按照市</w:t>
      </w:r>
      <w:r>
        <w:rPr>
          <w:rFonts w:hint="eastAsia"/>
          <w:color w:val="auto"/>
          <w:lang w:val="en-US" w:eastAsia="zh-CN"/>
        </w:rPr>
        <w:t>场运作、政府引导、社会投入模式，广泛利用项目融资，多渠道筹措建设资金。</w:t>
      </w:r>
    </w:p>
    <w:p>
      <w:pPr>
        <w:pStyle w:val="21"/>
        <w:bidi w:val="0"/>
        <w:rPr>
          <w:rFonts w:hint="eastAsia" w:ascii="仿宋" w:hAnsi="仿宋" w:eastAsia="仿宋" w:cs="仿宋"/>
          <w:color w:val="auto"/>
          <w:kern w:val="0"/>
          <w:szCs w:val="28"/>
          <w:lang w:val="en-US" w:eastAsia="zh-CN" w:bidi="ar"/>
        </w:rPr>
      </w:pPr>
      <w:r>
        <w:rPr>
          <w:rFonts w:hint="eastAsia"/>
          <w:color w:val="auto"/>
          <w:lang w:val="en-US" w:eastAsia="zh-CN"/>
        </w:rPr>
        <w:t>严格资金管理，完善生态文明建设相关资金管理制度，统筹运用预算内外投入生态环境领域的资金，保障生态文明建设资金有效地投入生态文明建设中。建立有效的资金监管制度，对资金的使用过程进行全过程监督，对资金使用效率进行审核与检查，对资金使用中出现的违规违纪行为实行责任追究。</w:t>
      </w:r>
      <w:r>
        <w:rPr>
          <w:rFonts w:hint="eastAsia" w:ascii="仿宋" w:hAnsi="仿宋" w:eastAsia="仿宋" w:cs="仿宋"/>
          <w:color w:val="auto"/>
          <w:kern w:val="0"/>
          <w:szCs w:val="28"/>
          <w:lang w:val="en-US" w:eastAsia="zh-CN" w:bidi="ar"/>
        </w:rPr>
        <w:t xml:space="preserve"> </w:t>
      </w:r>
    </w:p>
    <w:p>
      <w:pPr>
        <w:pStyle w:val="20"/>
        <w:numPr>
          <w:ilvl w:val="1"/>
          <w:numId w:val="0"/>
        </w:numPr>
        <w:bidi w:val="0"/>
        <w:ind w:leftChars="0"/>
        <w:rPr>
          <w:rFonts w:hint="default" w:ascii="仿宋" w:hAnsi="仿宋" w:eastAsia="仿宋" w:cs="仿宋"/>
          <w:color w:val="auto"/>
          <w:lang w:val="en-US" w:eastAsia="zh-CN"/>
        </w:rPr>
      </w:pPr>
      <w:bookmarkStart w:id="320" w:name="_Toc4196"/>
      <w:bookmarkStart w:id="321" w:name="_Toc15255"/>
      <w:bookmarkStart w:id="322" w:name="_Toc29688"/>
      <w:bookmarkStart w:id="323" w:name="_Toc15976"/>
      <w:r>
        <w:rPr>
          <w:rFonts w:hint="eastAsia" w:ascii="仿宋" w:hAnsi="仿宋" w:eastAsia="仿宋" w:cs="仿宋"/>
          <w:color w:val="auto"/>
          <w:lang w:val="en-US" w:eastAsia="zh-CN"/>
        </w:rPr>
        <w:t>（五）科技创新</w:t>
      </w:r>
      <w:r>
        <w:rPr>
          <w:rFonts w:hint="default" w:ascii="仿宋" w:hAnsi="仿宋" w:eastAsia="仿宋" w:cs="仿宋"/>
          <w:color w:val="auto"/>
          <w:lang w:val="en-US" w:eastAsia="zh-CN"/>
        </w:rPr>
        <w:t>保障</w:t>
      </w:r>
      <w:bookmarkEnd w:id="320"/>
      <w:bookmarkEnd w:id="321"/>
      <w:bookmarkEnd w:id="322"/>
      <w:bookmarkEnd w:id="323"/>
    </w:p>
    <w:p>
      <w:pPr>
        <w:pStyle w:val="21"/>
        <w:bidi w:val="0"/>
        <w:rPr>
          <w:rFonts w:hint="eastAsia"/>
          <w:color w:val="auto"/>
          <w:lang w:eastAsia="zh-CN"/>
        </w:rPr>
      </w:pPr>
      <w:r>
        <w:rPr>
          <w:rFonts w:hint="eastAsia"/>
          <w:color w:val="auto"/>
          <w:lang w:val="en-US" w:eastAsia="zh-CN"/>
        </w:rPr>
        <w:t>坚持需求导向，创新引才思维，完善人才服务，加强人才柔性引进，</w:t>
      </w:r>
      <w:r>
        <w:rPr>
          <w:rFonts w:hint="eastAsia"/>
          <w:color w:val="auto"/>
          <w:lang w:eastAsia="zh-CN"/>
        </w:rPr>
        <w:t>加强与高校、研究院所、高新企业和优秀科技人才合作交流，</w:t>
      </w:r>
      <w:r>
        <w:rPr>
          <w:rFonts w:hint="eastAsia"/>
          <w:color w:val="auto"/>
          <w:lang w:val="en-US" w:eastAsia="zh-CN"/>
        </w:rPr>
        <w:t>加强从事生态环境保护、生态经济建设专职人员的技术培训。建立相关领域的专家人才库，形成人才、智力资源与地方发展有效对接的长效机制。</w:t>
      </w:r>
    </w:p>
    <w:p>
      <w:pPr>
        <w:pStyle w:val="21"/>
        <w:bidi w:val="0"/>
        <w:rPr>
          <w:rFonts w:hint="eastAsia"/>
          <w:color w:val="auto"/>
          <w:lang w:val="en-US" w:eastAsia="zh-CN"/>
        </w:rPr>
      </w:pPr>
      <w:r>
        <w:rPr>
          <w:rFonts w:hint="eastAsia"/>
          <w:color w:val="auto"/>
          <w:lang w:eastAsia="zh-CN"/>
        </w:rPr>
        <w:t>大力支持生态环境领域的科学研究、技术开发与研制，发展技术先导型、资源节约型、环境保护型产业和产品，加速创新成果就地转化。</w:t>
      </w:r>
      <w:r>
        <w:rPr>
          <w:rFonts w:hint="eastAsia"/>
          <w:color w:val="auto"/>
          <w:lang w:val="en-US" w:eastAsia="zh-CN"/>
        </w:rPr>
        <w:t xml:space="preserve">通过科研和技术合作、投资项目等方式，建立有利于专业人才培养和使用的激励机制，以科技创新为核心，构建科技含量高、资源消耗低、环境污染少的产业结构和生产方式，实现产业技术装备升级，全面促进经济绿色高质量发展。 </w:t>
      </w:r>
    </w:p>
    <w:p>
      <w:pPr>
        <w:pStyle w:val="21"/>
        <w:bidi w:val="0"/>
        <w:rPr>
          <w:rFonts w:hint="eastAsia"/>
          <w:color w:val="auto"/>
          <w:lang w:val="en-US" w:eastAsia="zh-CN"/>
        </w:rPr>
      </w:pPr>
      <w:r>
        <w:rPr>
          <w:rFonts w:hint="eastAsia"/>
          <w:color w:val="auto"/>
          <w:lang w:eastAsia="zh-CN"/>
        </w:rPr>
        <w:t>积极引进和推广清洁生产、生态环境治理与修复、资源集约利用、废弃物综合利用、清洁能源供给及利用等领域的各类先进技术、工艺与产品。加强国内跨地区交流与合作，学习和借鉴先进地区生态文明建设示范区创建的成功经验。</w:t>
      </w:r>
    </w:p>
    <w:p>
      <w:pPr>
        <w:pStyle w:val="20"/>
        <w:numPr>
          <w:ilvl w:val="1"/>
          <w:numId w:val="0"/>
        </w:numPr>
        <w:bidi w:val="0"/>
        <w:ind w:leftChars="0"/>
        <w:rPr>
          <w:rFonts w:hint="default" w:ascii="仿宋" w:hAnsi="仿宋" w:eastAsia="仿宋" w:cs="仿宋"/>
          <w:color w:val="auto"/>
          <w:lang w:val="en-US" w:eastAsia="zh-CN"/>
        </w:rPr>
      </w:pPr>
      <w:bookmarkStart w:id="324" w:name="_Toc31640"/>
      <w:bookmarkStart w:id="325" w:name="_Toc26581"/>
      <w:bookmarkStart w:id="326" w:name="_Toc9313"/>
      <w:bookmarkStart w:id="327" w:name="_Toc18304"/>
      <w:r>
        <w:rPr>
          <w:rFonts w:hint="eastAsia" w:ascii="仿宋" w:hAnsi="仿宋" w:eastAsia="仿宋" w:cs="仿宋"/>
          <w:color w:val="auto"/>
          <w:lang w:val="en-US" w:eastAsia="zh-CN"/>
        </w:rPr>
        <w:t>（六）社会参与</w:t>
      </w:r>
      <w:r>
        <w:rPr>
          <w:rFonts w:hint="default" w:ascii="仿宋" w:hAnsi="仿宋" w:eastAsia="仿宋" w:cs="仿宋"/>
          <w:color w:val="auto"/>
          <w:lang w:val="en-US" w:eastAsia="zh-CN"/>
        </w:rPr>
        <w:t>保障</w:t>
      </w:r>
      <w:bookmarkEnd w:id="324"/>
      <w:bookmarkEnd w:id="325"/>
      <w:bookmarkEnd w:id="326"/>
      <w:bookmarkEnd w:id="327"/>
    </w:p>
    <w:p>
      <w:pPr>
        <w:pStyle w:val="21"/>
        <w:bidi w:val="0"/>
        <w:rPr>
          <w:rFonts w:hint="default"/>
          <w:color w:val="auto"/>
          <w:lang w:val="en-US" w:eastAsia="zh-CN"/>
        </w:rPr>
      </w:pPr>
      <w:r>
        <w:rPr>
          <w:rFonts w:hint="default"/>
          <w:color w:val="auto"/>
          <w:lang w:val="en-US" w:eastAsia="zh-CN"/>
        </w:rPr>
        <w:t>通过规划实施带动全区深入学习贯彻习近平生态文明思想，做好国家、</w:t>
      </w:r>
      <w:r>
        <w:rPr>
          <w:rFonts w:hint="eastAsia"/>
          <w:color w:val="auto"/>
          <w:lang w:val="en-US" w:eastAsia="zh-CN"/>
        </w:rPr>
        <w:t>江西</w:t>
      </w:r>
      <w:r>
        <w:rPr>
          <w:rFonts w:hint="default"/>
          <w:color w:val="auto"/>
          <w:lang w:val="en-US" w:eastAsia="zh-CN"/>
        </w:rPr>
        <w:t>省和</w:t>
      </w:r>
      <w:r>
        <w:rPr>
          <w:rFonts w:hint="eastAsia"/>
          <w:color w:val="auto"/>
          <w:lang w:val="en-US" w:eastAsia="zh-CN"/>
        </w:rPr>
        <w:t>南昌</w:t>
      </w:r>
      <w:r>
        <w:rPr>
          <w:rFonts w:hint="default"/>
          <w:color w:val="auto"/>
          <w:lang w:val="en-US" w:eastAsia="zh-CN"/>
        </w:rPr>
        <w:t>市生态文明建设政策解读。完善规划编制和实施过程中监督反馈机制，发挥行政监管、组织人事、统计审计、人大等部门的监督作用，主动接受社会监督。</w:t>
      </w:r>
    </w:p>
    <w:p>
      <w:pPr>
        <w:pStyle w:val="21"/>
        <w:bidi w:val="0"/>
        <w:rPr>
          <w:rFonts w:hint="default"/>
          <w:color w:val="auto"/>
          <w:lang w:val="en-US" w:eastAsia="zh-CN"/>
        </w:rPr>
      </w:pPr>
      <w:r>
        <w:rPr>
          <w:rFonts w:hint="default"/>
          <w:color w:val="auto"/>
          <w:lang w:val="en-US" w:eastAsia="zh-CN"/>
        </w:rPr>
        <w:t>充分发掘生态文明建设重要成效、创新举措、典型案例，</w:t>
      </w:r>
      <w:r>
        <w:rPr>
          <w:rStyle w:val="22"/>
          <w:rFonts w:hint="default"/>
          <w:b w:val="0"/>
          <w:bCs/>
          <w:color w:val="auto"/>
          <w:lang w:val="en-US" w:eastAsia="zh-CN"/>
        </w:rPr>
        <w:t>加强政府各级部门宣传教育能力，充分利用互联网、广播电视、新闻出版等媒介，畅通信息公开渠道，及时回应公众关切，</w:t>
      </w:r>
      <w:r>
        <w:rPr>
          <w:rFonts w:hint="default"/>
          <w:color w:val="auto"/>
          <w:lang w:val="en-US" w:eastAsia="zh-CN"/>
        </w:rPr>
        <w:t>在工作中宣传，在宣传中工作</w:t>
      </w:r>
      <w:r>
        <w:rPr>
          <w:rFonts w:hint="eastAsia"/>
          <w:color w:val="auto"/>
          <w:lang w:val="en-US" w:eastAsia="zh-CN"/>
        </w:rPr>
        <w:t>，</w:t>
      </w:r>
      <w:r>
        <w:rPr>
          <w:rStyle w:val="22"/>
          <w:rFonts w:hint="default"/>
          <w:b w:val="0"/>
          <w:bCs/>
          <w:color w:val="auto"/>
          <w:lang w:val="en-US" w:eastAsia="zh-CN"/>
        </w:rPr>
        <w:t>营造良好建设氛围</w:t>
      </w:r>
      <w:r>
        <w:rPr>
          <w:rFonts w:hint="default"/>
          <w:color w:val="auto"/>
          <w:lang w:val="en-US" w:eastAsia="zh-CN"/>
        </w:rPr>
        <w:t>。强化媒体合作、部门协调、上下联动，巩固生态文明建设宣传大格局，增强公众对规划的认同感。</w:t>
      </w:r>
    </w:p>
    <w:p>
      <w:pPr>
        <w:pStyle w:val="21"/>
        <w:bidi w:val="0"/>
        <w:rPr>
          <w:rStyle w:val="22"/>
          <w:rFonts w:hint="default"/>
          <w:b w:val="0"/>
          <w:bCs/>
          <w:color w:val="auto"/>
          <w:lang w:val="en-US" w:eastAsia="zh-CN"/>
        </w:rPr>
      </w:pPr>
      <w:r>
        <w:rPr>
          <w:rStyle w:val="22"/>
          <w:rFonts w:hint="default"/>
          <w:b w:val="0"/>
          <w:bCs/>
          <w:color w:val="auto"/>
          <w:lang w:val="en-US" w:eastAsia="zh-CN"/>
        </w:rPr>
        <w:t>着力构建生态文明创建全民行动体系，积极探索引入社会力量和基层公众参与环境治理的机制，让人民真正成为生态文明建设的积极参与者、面貌设计者、形象守护者、成果评价者、最大受益者。鼓励多元参与，充分发挥工会、共青团、妇联等群团组织积极作用，把广大干部群众的热情和干劲汇聚成磅礴力量，让生态文明创建成为全社会的共同愿景和自觉实践。</w:t>
      </w:r>
    </w:p>
    <w:p>
      <w:pPr>
        <w:rPr>
          <w:rFonts w:eastAsia="黑体"/>
          <w:color w:val="auto"/>
          <w:kern w:val="44"/>
          <w:szCs w:val="32"/>
        </w:rPr>
        <w:sectPr>
          <w:pgSz w:w="11906" w:h="16838"/>
          <w:pgMar w:top="1440" w:right="1800" w:bottom="1440" w:left="1800" w:header="851" w:footer="992" w:gutter="0"/>
          <w:pgNumType w:fmt="numberInDash"/>
          <w:cols w:space="720" w:num="1"/>
          <w:docGrid w:type="lines" w:linePitch="312" w:charSpace="0"/>
        </w:sectPr>
      </w:pPr>
      <w:bookmarkStart w:id="328" w:name="_Toc132363135"/>
    </w:p>
    <w:p>
      <w:pPr>
        <w:keepNext/>
        <w:keepLines/>
        <w:tabs>
          <w:tab w:val="left" w:pos="0"/>
        </w:tabs>
        <w:spacing w:before="120" w:after="120" w:line="360" w:lineRule="auto"/>
        <w:jc w:val="left"/>
        <w:outlineLvl w:val="0"/>
        <w:rPr>
          <w:rFonts w:hint="eastAsia" w:eastAsia="黑体"/>
          <w:color w:val="auto"/>
          <w:kern w:val="44"/>
          <w:sz w:val="28"/>
          <w:szCs w:val="28"/>
          <w:lang w:val="en-US" w:eastAsia="zh-CN"/>
        </w:rPr>
      </w:pPr>
      <w:bookmarkStart w:id="329" w:name="_Toc15266"/>
      <w:bookmarkStart w:id="330" w:name="_Toc17002"/>
      <w:bookmarkStart w:id="331" w:name="_Toc2157"/>
      <w:bookmarkStart w:id="332" w:name="_Toc30058"/>
      <w:r>
        <w:rPr>
          <w:rFonts w:eastAsia="黑体"/>
          <w:color w:val="auto"/>
          <w:kern w:val="44"/>
          <w:sz w:val="28"/>
          <w:szCs w:val="28"/>
        </w:rPr>
        <w:t xml:space="preserve">附表    </w:t>
      </w:r>
      <w:r>
        <w:rPr>
          <w:rFonts w:hint="eastAsia" w:eastAsia="黑体"/>
          <w:color w:val="auto"/>
          <w:kern w:val="44"/>
          <w:sz w:val="28"/>
          <w:szCs w:val="28"/>
          <w:lang w:val="en-US" w:eastAsia="zh-CN"/>
        </w:rPr>
        <w:t xml:space="preserve">      红谷滩区</w:t>
      </w:r>
      <w:r>
        <w:rPr>
          <w:rFonts w:eastAsia="黑体"/>
          <w:color w:val="auto"/>
          <w:kern w:val="44"/>
          <w:sz w:val="28"/>
          <w:szCs w:val="28"/>
        </w:rPr>
        <w:t>生态文明建设重点工程表</w:t>
      </w:r>
      <w:bookmarkEnd w:id="328"/>
      <w:bookmarkEnd w:id="329"/>
      <w:bookmarkEnd w:id="330"/>
      <w:bookmarkEnd w:id="331"/>
      <w:bookmarkEnd w:id="332"/>
      <w:r>
        <w:rPr>
          <w:rFonts w:hint="eastAsia" w:eastAsia="黑体"/>
          <w:color w:val="auto"/>
          <w:kern w:val="44"/>
          <w:sz w:val="28"/>
          <w:szCs w:val="28"/>
          <w:lang w:val="en-US" w:eastAsia="zh-CN"/>
        </w:rPr>
        <w:t xml:space="preserve"> </w:t>
      </w:r>
    </w:p>
    <w:p>
      <w:pPr>
        <w:jc w:val="right"/>
        <w:rPr>
          <w:rFonts w:hint="eastAsia" w:ascii="仿宋" w:hAnsi="仿宋" w:eastAsia="仿宋" w:cs="仿宋"/>
          <w:color w:val="auto"/>
          <w:sz w:val="28"/>
          <w:szCs w:val="28"/>
        </w:rPr>
      </w:pPr>
      <w:r>
        <w:rPr>
          <w:rFonts w:hint="eastAsia" w:ascii="仿宋" w:hAnsi="仿宋" w:eastAsia="仿宋" w:cs="仿宋"/>
          <w:color w:val="auto"/>
          <w:sz w:val="28"/>
          <w:szCs w:val="28"/>
        </w:rPr>
        <w:t>投资金额单位：万元</w:t>
      </w:r>
    </w:p>
    <w:tbl>
      <w:tblPr>
        <w:tblStyle w:val="1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6"/>
        <w:gridCol w:w="1720"/>
        <w:gridCol w:w="3807"/>
        <w:gridCol w:w="849"/>
        <w:gridCol w:w="799"/>
        <w:gridCol w:w="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blHeader/>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序号</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项目名称</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工程内容与规模</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实施年限</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jc w:val="center"/>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总投资（万元）</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5000" w:type="pct"/>
            <w:gridSpan w:val="6"/>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line="240" w:lineRule="atLeast"/>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一、生态安全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红谷滩区雨污管网及污水处理综合改造工程</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对前湖上下游水系水环境综合整治以及261个排水单元住宅小区阳台立管改造、市政管网混错接、尾水提标改造等</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2022.7-2024.12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99875</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南昌市红谷滩区厚田、流湖集镇雨污水处理及配套设施提升改造项目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对金燕温泉城污水处理厂及周边道路、雨污管网配套进行提升改造；通过聘请第三方专业运维企业对建制镇内的分散式污水处理设备进行管护</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2024.6-2024.12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3</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安丰渠水环境治理工程</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对安丰渠约2.1公里进行生态修复，对水渠混接问题进行整治，消除防汛内涝隐患，改善安丰渠水生态环境</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2024.6-2024.12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10000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4</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绿色循环综合体项目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建设两座集厨余垃圾资源化处理、大件垃圾破碎、可回收物分拣等功能的大型环卫综合体</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2024.10-2026.12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6000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5</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流湖金燕温泉城污水处理厂改造工程</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对金燕温泉城污水处理厂实施改造，恢复其正常运行</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2024.6-2024.12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5000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6</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进出城冲洗平台、超限超载停车卸货场、交警停车场三合一项目工程</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根据南昌市人民政府印发洪府办发〔2022〕41号《关于印发南昌扬尘污染专项整治工作方案的通知》文件及市交通运输局有关工作要求，需建成进城车辆清洗站并且建设超限超载车辆称重点及停放卸货场</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2024.1-2024.12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7</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金达莱污水应急处理管护工程</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通过聘请第三方专业运维企业对凤凰电排站、保利高尔夫、生米老街等点位金达莱分散式污水处理设备进行管护</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2024.6-2024.12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1500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8</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红谷滩区雨污管网管养项目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对全区雨污水管网、雨污水泵站进行日常管理养护，对全区排水户进行检查、抽查，配合执法对违规排水户进行处罚</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2024.1-2024.12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9</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红谷滩区农村水利基础设施提升改造工程</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本工程涉及水利子项目63个，其中流湖镇19个、厚田乡33个、生米街道7个、龙兴街道4个。主要建设内容有：24个水塘水库清淤扩容及改造提升、新建及改造抗旱机站14处，灌溉渠道整治10条，总长度约45公里，圩堤除险加固8处，长度约40公里，拆除重建闸3个，包括东堡闸、周家闸，文青庙下闸</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2024.2-2026.1</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39702</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10</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新建区流湖大堤涝区排涝能力建设项目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莲塘、新塘圩土方加固及完善涵管、闸配套设施7.2千米，莲塘罗坊湖加固长420米；河道护坡及土方外运1.5千米；渠道清淤整治，部分砼护坡，完善两侧管道配套，长约22.4千米；新建涵闸7座及楼下水闸工程；新建流湖闸排涝站2台机组，总装机1800KW</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2024.10-2026-9</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20900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11</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红谷滩区迴栏圩涝区排涝能力建设项目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渠道总长约19790米，排水渠护坡及清淤；拆除重建排涝闸2座，新建排涝闸1座，新建排涝泵2座，购置安装启闭机8台，购置安装铸铁闸门8套等</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2024.10-2025-10</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2280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12</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“两整治一提升”工作</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农村“两整治一提升”三年行动计划（2022－2024年）》（洪发〔2022〕5号）文件精神，按照县区选点定点、市级备案的原则，对流湖镇、厚田乡、生米街道、龙兴街道四个乡镇（街道）选点建设，全力打造美丽乡村“红谷滩样板”</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2024.6-2024.11</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待定</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5000" w:type="pct"/>
            <w:gridSpan w:val="6"/>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line="240" w:lineRule="atLeast"/>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二、生态空间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13</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南昌市红谷滩区鱼目山体育公园项目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项目主要含鱼目山周边区域和赣五公园衔接区域两大块，其中鱼目山周边区域建设面积约70公顷；赣五公园衔接区域建设面积约29公顷，并融入体育、健身等建设元素。项目建设总面积约100公顷，包含园林景观工程、桥梁工程、照明工程、水体清淤工程、停车场等内容</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2023.11-2024.5</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9500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14</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潼溪水库生态补水工程</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建设一趟约3km的补水管道，补充潼溪水库活化水源</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2024.6-2024.12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4800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15</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2024年“口袋公园”建设项目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选取3个点位，建设口袋公园</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2024.9-2024.12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16</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江报路休闲空间建设项目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项目位于江报路以西丰和中大道以东，星河汇与南昌移动之间地块，占地面积13000余平方米，其中规划休闲空间 8000余平方米，配套设置生态停车泊位176个，并配备了管理用房和休息驿站</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2024.7-2024.12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800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17</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红谷滩区2024年重要节点提升项目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结合我区园林实际工作提出“广场有造型、道路有花带、节点有花境”为原则，进一步丰富城市园林色彩，对重要主干道、道路节点实施彩化及景观提升</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2024.9-2024.12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18</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人工造林项目（阔叶树造林、乡村绿化美化）</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对全区火烧迹地、采伐迹地、病虫害除治迹地及其他宜林地开展阔叶类乔木造林；乡村绿化美化尽可能选用乡土树种，以乔木树种为主，要求栽植二年以上油茶苗木不少于600株，做到乔、灌、花、草合理配置，做到对村域内的道路、庭院、房前屋后、闲置地、水塘周边实现绿化全覆盖，营造村庄绿色生态系统</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2023.5-2024.4</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33.6</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19</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2023年度森林防火“两带”建设</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依托地形地势，利用林区防火道路、江河水域的防火效能，结合生物防火林带规划设计生物防火隔离带，增强林区阻火、隔火、断火的作用，提高自身抗御森林火灾的能力，有效减少森林火灾损失</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2023.5-2024.4</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305"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20</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红谷滩区渔舟湾小微湿地生态修复与生态科普示范点建设项目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主要实施内容为驳岸修复、地形优化、植被层次完善、入侵物种清理、科普宣教系统营建和配套设施营建及湿地沿江塌方段修复</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2023.10-2023.12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280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21</w:t>
            </w:r>
          </w:p>
        </w:tc>
        <w:tc>
          <w:tcPr>
            <w:tcW w:w="285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南昌红谷滩求实路小微湿地保护与利用示范点</w:t>
            </w:r>
          </w:p>
        </w:tc>
        <w:tc>
          <w:tcPr>
            <w:tcW w:w="6307"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选取点位建设湿地保护示范点</w:t>
            </w:r>
          </w:p>
        </w:tc>
        <w:tc>
          <w:tcPr>
            <w:tcW w:w="1406"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2024.1-2024.12</w:t>
            </w:r>
          </w:p>
        </w:tc>
        <w:tc>
          <w:tcPr>
            <w:tcW w:w="1323"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200</w:t>
            </w:r>
          </w:p>
        </w:tc>
        <w:tc>
          <w:tcPr>
            <w:tcW w:w="150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22</w:t>
            </w:r>
          </w:p>
        </w:tc>
        <w:tc>
          <w:tcPr>
            <w:tcW w:w="285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红谷滩区红角洲管理处小微湿地保护与利用示范点</w:t>
            </w:r>
          </w:p>
        </w:tc>
        <w:tc>
          <w:tcPr>
            <w:tcW w:w="6307"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选取点位建设湿地保护示范点</w:t>
            </w:r>
          </w:p>
        </w:tc>
        <w:tc>
          <w:tcPr>
            <w:tcW w:w="1406"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2024.1-2024.12</w:t>
            </w:r>
          </w:p>
        </w:tc>
        <w:tc>
          <w:tcPr>
            <w:tcW w:w="1323"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100</w:t>
            </w:r>
          </w:p>
        </w:tc>
        <w:tc>
          <w:tcPr>
            <w:tcW w:w="150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红角洲街道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5000" w:type="pct"/>
            <w:gridSpan w:val="6"/>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line="240" w:lineRule="atLeast"/>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三、生态经济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23</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世纪华通江西区域总部项目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项目围绕虚拟现实游戏进行研发，办公面积10000平米</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2024.1-2024.12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5000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区科工局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24</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VR科创城二期工业园区</w:t>
            </w:r>
            <w:r>
              <w:rPr>
                <w:rFonts w:hint="eastAsia"/>
                <w:color w:val="auto"/>
                <w:lang w:val="en-US" w:eastAsia="zh-CN"/>
              </w:rPr>
              <w:br w:type="textWrapping"/>
            </w:r>
            <w:r>
              <w:rPr>
                <w:rFonts w:hint="eastAsia"/>
                <w:color w:val="auto"/>
                <w:lang w:val="en-US" w:eastAsia="zh-CN"/>
              </w:rPr>
              <w:t>（电子信息高端制造产业园）</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项目首期用地位于VR科创城西北角，占地面积415亩，打造高端智能制造、数字文创、新材料等产业集群</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2023.12-2026.12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330000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区城投公司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25</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流量经济（互联网）产业园项目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项目占地约46.32亩，总建筑面积约20万平方米，拟建成集办公、商业、酒店一体的城市商业综合体</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2022.6-2025.6</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180000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区城投公司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26</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智算中心项目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项目位于南昌市红谷滩区龙虎山大道以西，科创大街以北区域。项目总用地面积约6024.3m</w:t>
            </w:r>
            <w:r>
              <w:rPr>
                <w:rFonts w:hint="eastAsia"/>
                <w:color w:val="auto"/>
                <w:vertAlign w:val="superscript"/>
                <w:lang w:val="en-US" w:eastAsia="zh-CN"/>
              </w:rPr>
              <w:t>2</w:t>
            </w:r>
            <w:r>
              <w:rPr>
                <w:rFonts w:hint="eastAsia"/>
                <w:color w:val="auto"/>
                <w:lang w:val="en-US" w:eastAsia="zh-CN"/>
              </w:rPr>
              <w:t>，总建筑面积2640.78m</w:t>
            </w:r>
            <w:r>
              <w:rPr>
                <w:rFonts w:hint="eastAsia"/>
                <w:color w:val="auto"/>
                <w:vertAlign w:val="superscript"/>
                <w:lang w:val="en-US" w:eastAsia="zh-CN"/>
              </w:rPr>
              <w:t>2</w:t>
            </w:r>
            <w:r>
              <w:rPr>
                <w:rFonts w:hint="eastAsia"/>
                <w:color w:val="auto"/>
                <w:lang w:val="en-US" w:eastAsia="zh-CN"/>
              </w:rPr>
              <w:t>，其中计容建筑面积2456.32m</w:t>
            </w:r>
            <w:r>
              <w:rPr>
                <w:rFonts w:hint="eastAsia"/>
                <w:color w:val="auto"/>
                <w:vertAlign w:val="superscript"/>
                <w:lang w:val="en-US" w:eastAsia="zh-CN"/>
              </w:rPr>
              <w:t>2</w:t>
            </w:r>
            <w:r>
              <w:rPr>
                <w:rFonts w:hint="eastAsia"/>
                <w:color w:val="auto"/>
                <w:lang w:val="en-US" w:eastAsia="zh-CN"/>
              </w:rPr>
              <w:t>，不计容建筑面积184.46m</w:t>
            </w:r>
            <w:r>
              <w:rPr>
                <w:rFonts w:hint="eastAsia"/>
                <w:color w:val="auto"/>
                <w:vertAlign w:val="superscript"/>
                <w:lang w:val="en-US" w:eastAsia="zh-CN"/>
              </w:rPr>
              <w:t>2</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2023.12-2024.8</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58385</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区城投公司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27</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九龙湖JLH704-L01地块应用产业园（中国电信元宇宙应用产业园）</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位于九龙湖大道两侧数字经济引领示范区内</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2023.12-2026.12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200000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28</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JLH603-B05地块投资建设数字经济产业园（云上江西数字经济产业园）</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位于九龙大道沿线数字经济引领区内九龙大道以西，景德镇街以北，扬帆东街以南</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2023.12-2025.12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30000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29</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中盛金融项目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总用地面积16629.33平方米，约25亩，容积率4.0，总建筑面积约8.2万平方米，其中地上计容面积约6.6万平方米，地下不计容面积约1.6万平方米，地上单体建筑性质为商业商务办公</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2023.12-2026.12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100000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沙井街办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30</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江西国控基金产业园</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总建筑面积约188,856.08m</w:t>
            </w:r>
            <w:r>
              <w:rPr>
                <w:rFonts w:hint="eastAsia"/>
                <w:color w:val="auto"/>
                <w:vertAlign w:val="superscript"/>
                <w:lang w:val="en-US" w:eastAsia="zh-CN"/>
              </w:rPr>
              <w:t>2</w:t>
            </w:r>
            <w:r>
              <w:rPr>
                <w:rFonts w:hint="eastAsia"/>
                <w:color w:val="auto"/>
                <w:lang w:val="en-US" w:eastAsia="zh-CN"/>
              </w:rPr>
              <w:t>；计容面积约141,114m</w:t>
            </w:r>
            <w:r>
              <w:rPr>
                <w:rFonts w:hint="eastAsia"/>
                <w:color w:val="auto"/>
                <w:vertAlign w:val="superscript"/>
                <w:lang w:val="en-US" w:eastAsia="zh-CN"/>
              </w:rPr>
              <w:t>2</w:t>
            </w:r>
            <w:r>
              <w:rPr>
                <w:rFonts w:hint="eastAsia"/>
                <w:color w:val="auto"/>
                <w:lang w:val="en-US" w:eastAsia="zh-CN"/>
              </w:rPr>
              <w:t>；地下建筑面积约46,942m</w:t>
            </w:r>
            <w:r>
              <w:rPr>
                <w:rFonts w:hint="eastAsia"/>
                <w:color w:val="auto"/>
                <w:vertAlign w:val="superscript"/>
                <w:lang w:val="en-US" w:eastAsia="zh-CN"/>
              </w:rPr>
              <w:t>2</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2023.6-2025.12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250000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红角洲街办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31</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江西求是高等研究院项目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项目位于慧谷产业园三期8#楼，面积约2.7万m</w:t>
            </w:r>
            <w:r>
              <w:rPr>
                <w:rFonts w:hint="eastAsia"/>
                <w:color w:val="auto"/>
                <w:vertAlign w:val="superscript"/>
                <w:lang w:val="en-US" w:eastAsia="zh-CN"/>
              </w:rPr>
              <w:t>2</w:t>
            </w:r>
            <w:r>
              <w:rPr>
                <w:rFonts w:hint="eastAsia"/>
                <w:color w:val="auto"/>
                <w:lang w:val="en-US" w:eastAsia="zh-CN"/>
              </w:rPr>
              <w:t>。浙大南昌研究院项目围绕VR技术研发与产业化面向VR/AR/MR+5G+AI的技术共性支撑平台</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2022.10-2026.12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50000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红角洲街办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32</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江南温泉城</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项目有A、B、C、D、F地块，总建筑面积94.57万方，A、B、F为二类住宅用地，C、D商业服务及娱乐康体用地</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2018.11-2027.12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750000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生米街办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33</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国家能源集团南昌霞坊光伏发电项目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项目位于厚田乡，规划光伏发电装机100MW，为集中式水面光伏项目，将新建一座220kV变电站，通过1回220kV线路就近接入变电站</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2023.12-2025.12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47089</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厚田乡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34</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2023年高标准农田建设项目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建设高标准农田15000亩，对农田路、沟、渠进行平整</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2023.11-2024.3</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4500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35</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江西省南昌市红谷滩区2024年统筹整合资金推进高标准农田建设项目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left"/>
              <w:textAlignment w:val="center"/>
              <w:rPr>
                <w:rFonts w:hint="eastAsia"/>
                <w:color w:val="auto"/>
                <w:lang w:val="en-US" w:eastAsia="zh-CN"/>
              </w:rPr>
            </w:pPr>
            <w:r>
              <w:rPr>
                <w:rFonts w:hint="eastAsia"/>
                <w:color w:val="auto"/>
                <w:lang w:val="en-US" w:eastAsia="zh-CN"/>
              </w:rPr>
              <w:t>建设面积共计0.5万亩，主要建设内容为田块整治工程、土壤改良工程、灌溉与排水工程、田间道路工程、农田输配电工程、农田防护与生态环境保持工程、其他工程</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2024.3-2025.3</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1500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36</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低产低效林改造</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对郁闭度0.4以下或亩均蓄积量3立方米以下的低效林分、病虫害严重的低产低效林，采取更新改造、补植补造等方式进行改造，新栽针阔叶类苗木为2-3年及以上培育时间，每亩补植50株以上，补植后最低密度应达到该类林分合理密度的85%以上，新栽苗木成活率达到85%以上，实现低产低效林从增绿到造景的全面提升</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2023.5-2024.4</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8</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37</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油茶业发展项目（油茶资源高质量培育造林、油茶垦复等改造）</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充分利用省级扶持油茶产业发展的优惠政策，将油茶产业培育成为红谷滩区林农增收和脱贫致富的主导产业；对符合低改要求的油茶成林，采取林地清理、垦复、修剪、施肥、病虫害防治、嫁接换种等措施，改善林地水肥条件，促进油茶生长，稳步提高油茶产量</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2023.5-2024.4</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19.2</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38</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林下经济示范点建设项目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鼓励专业合作社、专业大户以及林地经营者充分利用林下土地资源和林荫优势发展林下养殖，促进林地立体复合生产经营，切实提高林地利用率和产出率</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2023.5-2024.4</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39</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流湖镇2023年度市级农业产业强镇项目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新建配套智慧系统、蔬菜仓储房、文化长廊、大棚、恒温养菌房等</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2022.12-2023.11</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1005</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5000" w:type="pct"/>
            <w:gridSpan w:val="6"/>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line="240" w:lineRule="atLeast"/>
              <w:jc w:val="left"/>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四、生态生活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40</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九龙湖新城综合管廊一期工程</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全长11.7公里四条管廊</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2017.10-2024.12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182500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41</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供水管网共建项目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九龙湖片区起步区龙兴大街以南地区、南昌西客站地区、生米大道以南、铁路货运线以南）和西部组团供水管网建设</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2023.3-2033.3</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83225</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42</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红谷滩供电迁改工程</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南昌技师学院（筹） 建设项目、南昌医学院VR科创城流湖线下地工程、抚州大街西延等项目电力迁改</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2023.3-2024.12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24200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43</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红谷滩区碟子湖大道沿线绿化景观提升改造工程二期</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项目位于红谷滩中心区，建设范围南起翠苑路北至黄河路，对碟子湖大道全长约6.6公里沿线道路景观进行提升，改善碟子湖大道与乌沙河间长廊区域城市景观风貌。项目涵盖绿化工程、排水工程、道路工程等多方面建设内容</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2024.6-2024.12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8000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44</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2024年路域环境白改黑项目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对龙兴、生米、厚田、流湖四个片区的县、乡、村道道路提升改造及白改黑项目</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2024.5-2024.11</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5000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45</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 xml:space="preserve"> S105省道及X057县道路域环境提升改造工程</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对沿边道路及周边路域环境进行改造</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2023.8-2024.12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5000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46</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沙井、凤凰洲片区人行道提升改造工程</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对沙井和凤凰片区人行道及周边区域进行改造完善设施、规范秩序、提升城市环境</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2023.9-2025.12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3400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47</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城运路以西（上饶大街-鹰潭街）绿道建设工程</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约5万平方米公园建设。主要包括土方工程、园林绿化、给排水工程、亮化工程、休闲设施等</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2024.7-2025.6</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2500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48</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红谷滩区2024年草花种植及养护项目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主要为道路彩化花卉种植，在主次干道、重要节点、城市出入口及商圈周边提升景观品质，增强景观的层次感和观赏性</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2024.10-2025.10</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2100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49</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红谷滩区垃圾中转站改造提升二期（2024年）</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对全区垃圾中转站（除2023年已改）基础设施破旧进行提升、提升除臭功能、完善厨余收运功能</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2024.7-2025.12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50</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凤凰洲垃圾中转站</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根据环卫设施建设规划在凤凰洲辖区内选取合适地块新建一座大型垃圾中转站，解决凤凰洲现有垃圾中转站老旧且均在小区内投诉较多的问题</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2024.7-2025.12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51</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龙兴垃圾中转站</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据环卫设施建设规划在龙兴街办选取合适地块新建一座垃圾中转站，解决九龙湖西无垃圾中转站现状，地块足够的情况充分考虑龙兴街办城市管理办公用房和环卫作业车辆停放</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2024.7-2025.12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52</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完善区住建局移交道路的补栽补亮工程</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对部分已建成开放使用道路路灯、绿化、行道树不完善、缺失的进行补充</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2023.7-2024.12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1000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53</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红谷滩中央商务区景观亮化养护项目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中央商务区景观灯运维费及电费</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2023.03-2024.02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1300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54</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2024年厕所革命</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辖区内部分公厕老旧难以通过小维修提升品质需进行项目化提升，另随着城区发展，人口密度增加，部分区域内公厕密度不达标，拟新建3-5座公厕，最好打造一座5星级公厕用于展示我区形象</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2024.7-2025.12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800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55</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新能源汽车充电桩建设项目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2024年底争取实现全区公共充电桩全覆盖，完成建设新能源汽车充电桩150个；同时结合各街办新能源汽车发展情况，进一步合理增加公共充电桩建设数量，满足群众充电桩使用需求</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2024.2-2024.12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600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56</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红谷滩区部分灯具提升改造工程（EMC二期）</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针对红谷滩区部分灯具EMC提升改造</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2024.8-2024.12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节能效益款的88%</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57</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红谷滩区城乡供水一体化建设项目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生米街道1个集镇7个行政村和流湖镇1个集镇8个行政村以及厚田乡1个集镇11个行政村农村自来水供水管网延伸工程</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2023.11-2024.8</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12800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58</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红谷滩区西二环沿线环境整治提升工作</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区西二环高速沿线环境整治提升重点围绕“村庄房屋穿衣戴帽”、“坟墓整治”、“绿化提升”、“两整治一提升”、“国省县乡道整治”这五项内容，摸清底数、统一标准、固化工作量，开展全面整治提升</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2023.10-2024.4</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2917.19</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59</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红谷滩区2024年老旧小区综合提升改造工程</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墙外立面及屋顶防漏、雨污管道改造、墙外立面美化、楼道粉刷修复、门禁安防设置、基础设施修复、防盗窗拆除安装、宣传氛围布置、管线整理、路灯修复及楼道灯亮化、施划停车泊位、道路白改黑等</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2024.8-2024.12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1200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区城管执法局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5000" w:type="pct"/>
            <w:gridSpan w:val="6"/>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line="240" w:lineRule="atLeast"/>
              <w:jc w:val="left"/>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五、生态文化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60</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南昌271项目（陶艺村、影视村、民俗村）</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项目占地面积约177.8亩，位于赣江北大道延伸段经开大道与海河路交叉口以北，总建筑面积约30万平方米</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2023.12-2028.8</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331600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凤凰洲街办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61</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保利文化艺术城</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项目位于红谷滩区九龙湖管理处隆安二街，占地约294.1亩，总建筑面积约47.13万平方米，项目分5期开发，建设商业、大剧院等文化艺术城</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2022.4-2025.6</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90283</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生米街办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872"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default"/>
                <w:color w:val="auto"/>
                <w:lang w:val="en-US" w:eastAsia="zh-CN"/>
              </w:rPr>
            </w:pPr>
            <w:r>
              <w:rPr>
                <w:rFonts w:hint="eastAsia"/>
                <w:color w:val="auto"/>
                <w:lang w:val="en-US" w:eastAsia="zh-CN"/>
              </w:rPr>
              <w:t>62</w:t>
            </w:r>
          </w:p>
        </w:tc>
        <w:tc>
          <w:tcPr>
            <w:tcW w:w="999"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红谷滩区新时代文明实践中心建设项目</w:t>
            </w:r>
          </w:p>
        </w:tc>
        <w:tc>
          <w:tcPr>
            <w:tcW w:w="2211"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拟在赣江市民公园海绵城市示范馆（建筑编号2-8）打造新时代文明实践中心，建筑共2层，一层623.75平米，二层399.43平米，共计1023.18平米，该中心建成后主要用于开展区级理论宣讲、市民教育、科普宣传、文化健身等新时代文明实践活动</w:t>
            </w:r>
          </w:p>
        </w:tc>
        <w:tc>
          <w:tcPr>
            <w:tcW w:w="493" w:type="pc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2024.1-2024.12</w:t>
            </w:r>
          </w:p>
        </w:tc>
        <w:tc>
          <w:tcPr>
            <w:tcW w:w="463"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600</w:t>
            </w:r>
          </w:p>
        </w:tc>
        <w:tc>
          <w:tcPr>
            <w:tcW w:w="526"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7"/>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区委宣传部</w:t>
            </w:r>
          </w:p>
        </w:tc>
      </w:tr>
    </w:tbl>
    <w:p>
      <w:pPr>
        <w:pStyle w:val="21"/>
        <w:bidi w:val="0"/>
        <w:rPr>
          <w:rFonts w:hint="eastAsia"/>
          <w:color w:val="auto"/>
          <w:lang w:val="en-US" w:eastAsia="zh-CN"/>
        </w:rPr>
      </w:pPr>
    </w:p>
    <w:p>
      <w:pPr>
        <w:pStyle w:val="2"/>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729DD8"/>
    <w:multiLevelType w:val="multilevel"/>
    <w:tmpl w:val="9B729DD8"/>
    <w:lvl w:ilvl="0" w:tentative="0">
      <w:start w:val="1"/>
      <w:numFmt w:val="decimal"/>
      <w:suff w:val="nothing"/>
      <w:lvlText w:val="5.%1"/>
      <w:lvlJc w:val="left"/>
      <w:pPr>
        <w:tabs>
          <w:tab w:val="left" w:pos="0"/>
        </w:tabs>
        <w:ind w:left="0" w:firstLine="0"/>
      </w:pPr>
      <w:rPr>
        <w:rFonts w:hint="default" w:ascii="Times New Roman" w:hAnsi="Times New Roman" w:eastAsia="宋体" w:cs="Times New Roman"/>
        <w:b/>
        <w:bCs/>
        <w:sz w:val="32"/>
        <w:szCs w:val="32"/>
      </w:rPr>
    </w:lvl>
    <w:lvl w:ilvl="1" w:tentative="0">
      <w:start w:val="1"/>
      <w:numFmt w:val="decimal"/>
      <w:pStyle w:val="28"/>
      <w:suff w:val="nothing"/>
      <w:lvlText w:val="5.%1.%2"/>
      <w:lvlJc w:val="left"/>
      <w:pPr>
        <w:tabs>
          <w:tab w:val="left" w:pos="0"/>
        </w:tabs>
        <w:ind w:left="0" w:firstLine="0"/>
      </w:pPr>
      <w:rPr>
        <w:rFonts w:hint="default" w:ascii="Times New Roman" w:hAnsi="Times New Roman" w:eastAsia="宋体" w:cs="Times New Roman"/>
        <w:b/>
        <w:bCs/>
        <w:sz w:val="28"/>
        <w:szCs w:val="28"/>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A24F0F7A"/>
    <w:multiLevelType w:val="multilevel"/>
    <w:tmpl w:val="A24F0F7A"/>
    <w:lvl w:ilvl="0" w:tentative="0">
      <w:start w:val="1"/>
      <w:numFmt w:val="decimal"/>
      <w:pStyle w:val="26"/>
      <w:lvlText w:val="表4-%1"/>
      <w:lvlJc w:val="center"/>
      <w:pPr>
        <w:tabs>
          <w:tab w:val="left" w:pos="0"/>
        </w:tabs>
        <w:ind w:left="0" w:firstLine="0"/>
      </w:pPr>
      <w:rPr>
        <w:rFonts w:hint="default" w:ascii="Times New Roman" w:hAnsi="Times New Roman" w:eastAsia="宋体" w:cs="Times New Roman"/>
        <w:b/>
        <w:bCs/>
        <w:sz w:val="24"/>
        <w:szCs w:val="24"/>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AADB5F6B"/>
    <w:multiLevelType w:val="singleLevel"/>
    <w:tmpl w:val="AADB5F6B"/>
    <w:lvl w:ilvl="0" w:tentative="0">
      <w:start w:val="1"/>
      <w:numFmt w:val="decimal"/>
      <w:suff w:val="nothing"/>
      <w:lvlText w:val="%1."/>
      <w:lvlJc w:val="left"/>
      <w:pPr>
        <w:tabs>
          <w:tab w:val="left" w:pos="0"/>
        </w:tabs>
        <w:ind w:left="0" w:firstLine="40"/>
      </w:pPr>
      <w:rPr>
        <w:rFonts w:hint="default" w:ascii="Times New Roman" w:hAnsi="Times New Roman" w:eastAsia="仿宋" w:cs="Times New Roman"/>
        <w:b/>
        <w:bCs/>
        <w:sz w:val="28"/>
        <w:szCs w:val="28"/>
      </w:rPr>
    </w:lvl>
  </w:abstractNum>
  <w:abstractNum w:abstractNumId="3">
    <w:nsid w:val="D3614E02"/>
    <w:multiLevelType w:val="multilevel"/>
    <w:tmpl w:val="D3614E02"/>
    <w:lvl w:ilvl="0" w:tentative="0">
      <w:start w:val="1"/>
      <w:numFmt w:val="decimal"/>
      <w:pStyle w:val="17"/>
      <w:suff w:val="nothing"/>
      <w:lvlText w:val="%1"/>
      <w:lvlJc w:val="left"/>
      <w:pPr>
        <w:tabs>
          <w:tab w:val="left" w:pos="0"/>
        </w:tabs>
        <w:ind w:left="0" w:firstLine="0"/>
      </w:pPr>
      <w:rPr>
        <w:rFonts w:hint="default" w:ascii="Times New Roman" w:hAnsi="Times New Roman" w:eastAsia="宋体" w:cs="Times New Roman"/>
        <w:b/>
        <w:bCs/>
        <w:sz w:val="36"/>
        <w:szCs w:val="36"/>
      </w:rPr>
    </w:lvl>
    <w:lvl w:ilvl="1" w:tentative="0">
      <w:start w:val="1"/>
      <w:numFmt w:val="decimal"/>
      <w:pStyle w:val="20"/>
      <w:suff w:val="nothing"/>
      <w:lvlText w:val="%1.%2"/>
      <w:lvlJc w:val="left"/>
      <w:pPr>
        <w:tabs>
          <w:tab w:val="left" w:pos="0"/>
        </w:tabs>
        <w:ind w:left="0" w:firstLine="0"/>
      </w:pPr>
      <w:rPr>
        <w:rFonts w:hint="default" w:ascii="Times New Roman" w:hAnsi="Times New Roman" w:eastAsia="宋体" w:cs="Times New Roman"/>
        <w:b/>
        <w:bCs/>
        <w:sz w:val="32"/>
        <w:szCs w:val="32"/>
      </w:rPr>
    </w:lvl>
    <w:lvl w:ilvl="2" w:tentative="0">
      <w:start w:val="1"/>
      <w:numFmt w:val="decimal"/>
      <w:isLgl/>
      <w:suff w:val="nothing"/>
      <w:lvlText w:val="%1.%2.%3"/>
      <w:lvlJc w:val="left"/>
      <w:pPr>
        <w:tabs>
          <w:tab w:val="left" w:pos="0"/>
        </w:tabs>
        <w:ind w:left="1470" w:firstLine="0"/>
      </w:pPr>
      <w:rPr>
        <w:rFonts w:hint="default" w:ascii="Times New Roman" w:hAnsi="Times New Roman" w:eastAsia="宋体" w:cs="Times New Roman"/>
        <w:b/>
        <w:bCs/>
        <w:sz w:val="28"/>
        <w:szCs w:val="28"/>
      </w:rPr>
    </w:lvl>
    <w:lvl w:ilvl="3" w:tentative="0">
      <w:start w:val="1"/>
      <w:numFmt w:val="decimal"/>
      <w:lvlRestart w:val="2"/>
      <w:suff w:val="nothing"/>
      <w:lvlText w:val="表%1.%2-%4"/>
      <w:lvlJc w:val="left"/>
      <w:pPr>
        <w:tabs>
          <w:tab w:val="left" w:pos="0"/>
        </w:tabs>
        <w:ind w:left="1470" w:firstLine="0"/>
      </w:pPr>
      <w:rPr>
        <w:rFonts w:hint="default" w:ascii="Times New Roman" w:hAnsi="Times New Roman" w:eastAsia="宋体" w:cs="Times New Roman"/>
        <w:b/>
        <w:bCs/>
        <w:sz w:val="21"/>
        <w:szCs w:val="21"/>
      </w:rPr>
    </w:lvl>
    <w:lvl w:ilvl="4" w:tentative="0">
      <w:start w:val="1"/>
      <w:numFmt w:val="decimal"/>
      <w:lvlRestart w:val="2"/>
      <w:suff w:val="nothing"/>
      <w:lvlText w:val="图%1.%2.%5"/>
      <w:lvlJc w:val="left"/>
      <w:pPr>
        <w:tabs>
          <w:tab w:val="left" w:pos="0"/>
        </w:tabs>
        <w:ind w:left="840" w:firstLine="0"/>
      </w:pPr>
      <w:rPr>
        <w:rFonts w:hint="default" w:ascii="Times New Roman" w:hAnsi="Times New Roman" w:eastAsia="宋体" w:cs="Times New Roman"/>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DC5F566F"/>
    <w:multiLevelType w:val="multilevel"/>
    <w:tmpl w:val="DC5F566F"/>
    <w:lvl w:ilvl="0" w:tentative="0">
      <w:start w:val="1"/>
      <w:numFmt w:val="decimal"/>
      <w:suff w:val="nothing"/>
      <w:lvlText w:val="4.%1"/>
      <w:lvlJc w:val="left"/>
      <w:pPr>
        <w:tabs>
          <w:tab w:val="left" w:pos="0"/>
        </w:tabs>
        <w:ind w:left="0" w:firstLine="0"/>
      </w:pPr>
      <w:rPr>
        <w:rFonts w:hint="default" w:ascii="Times New Roman" w:hAnsi="Times New Roman" w:eastAsia="仿宋" w:cs="仿宋"/>
        <w:b/>
        <w:bCs/>
        <w:sz w:val="32"/>
        <w:szCs w:val="32"/>
      </w:rPr>
    </w:lvl>
    <w:lvl w:ilvl="1" w:tentative="0">
      <w:start w:val="1"/>
      <w:numFmt w:val="decimal"/>
      <w:pStyle w:val="23"/>
      <w:suff w:val="nothing"/>
      <w:lvlText w:val="4.%1.%2"/>
      <w:lvlJc w:val="left"/>
      <w:pPr>
        <w:tabs>
          <w:tab w:val="left" w:pos="0"/>
        </w:tabs>
        <w:ind w:left="0" w:firstLine="0"/>
      </w:pPr>
      <w:rPr>
        <w:rFonts w:hint="default" w:ascii="Times New Roman" w:hAnsi="Times New Roman" w:eastAsia="仿宋" w:cs="仿宋"/>
        <w:b/>
        <w:bCs/>
        <w:sz w:val="28"/>
        <w:szCs w:val="28"/>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11B9643E"/>
    <w:multiLevelType w:val="singleLevel"/>
    <w:tmpl w:val="11B9643E"/>
    <w:lvl w:ilvl="0" w:tentative="0">
      <w:start w:val="1"/>
      <w:numFmt w:val="decimal"/>
      <w:lvlText w:val="%1."/>
      <w:lvlJc w:val="left"/>
      <w:pPr>
        <w:tabs>
          <w:tab w:val="left" w:pos="0"/>
        </w:tabs>
        <w:ind w:left="0" w:firstLine="0"/>
      </w:pPr>
      <w:rPr>
        <w:rFonts w:hint="default"/>
      </w:rPr>
    </w:lvl>
  </w:abstractNum>
  <w:abstractNum w:abstractNumId="6">
    <w:nsid w:val="14F42884"/>
    <w:multiLevelType w:val="singleLevel"/>
    <w:tmpl w:val="14F42884"/>
    <w:lvl w:ilvl="0" w:tentative="0">
      <w:start w:val="1"/>
      <w:numFmt w:val="decimal"/>
      <w:suff w:val="nothing"/>
      <w:lvlText w:val="%1."/>
      <w:lvlJc w:val="left"/>
      <w:pPr>
        <w:tabs>
          <w:tab w:val="left" w:pos="420"/>
        </w:tabs>
        <w:ind w:left="420" w:hanging="420"/>
      </w:pPr>
      <w:rPr>
        <w:rFonts w:hint="default" w:ascii="仿宋" w:hAnsi="仿宋" w:eastAsia="仿宋" w:cs="仿宋"/>
        <w:b/>
        <w:bCs/>
        <w:sz w:val="28"/>
        <w:szCs w:val="28"/>
      </w:rPr>
    </w:lvl>
  </w:abstractNum>
  <w:abstractNum w:abstractNumId="7">
    <w:nsid w:val="25FDC919"/>
    <w:multiLevelType w:val="singleLevel"/>
    <w:tmpl w:val="25FDC919"/>
    <w:lvl w:ilvl="0" w:tentative="0">
      <w:start w:val="1"/>
      <w:numFmt w:val="chineseCounting"/>
      <w:pStyle w:val="19"/>
      <w:suff w:val="nothing"/>
      <w:lvlText w:val="第%1章"/>
      <w:lvlJc w:val="left"/>
      <w:pPr>
        <w:tabs>
          <w:tab w:val="left" w:pos="0"/>
        </w:tabs>
        <w:ind w:left="0" w:firstLine="0"/>
      </w:pPr>
      <w:rPr>
        <w:rFonts w:hint="eastAsia" w:ascii="宋体" w:hAnsi="宋体" w:eastAsia="宋体" w:cs="宋体"/>
      </w:rPr>
    </w:lvl>
  </w:abstractNum>
  <w:abstractNum w:abstractNumId="8">
    <w:nsid w:val="70B29C7C"/>
    <w:multiLevelType w:val="singleLevel"/>
    <w:tmpl w:val="70B29C7C"/>
    <w:lvl w:ilvl="0" w:tentative="0">
      <w:start w:val="1"/>
      <w:numFmt w:val="decimal"/>
      <w:lvlText w:val="%1."/>
      <w:lvlJc w:val="left"/>
      <w:pPr>
        <w:ind w:left="425" w:hanging="425"/>
      </w:pPr>
      <w:rPr>
        <w:rFonts w:hint="default"/>
      </w:rPr>
    </w:lvl>
  </w:abstractNum>
  <w:num w:numId="1">
    <w:abstractNumId w:val="3"/>
  </w:num>
  <w:num w:numId="2">
    <w:abstractNumId w:val="7"/>
  </w:num>
  <w:num w:numId="3">
    <w:abstractNumId w:val="4"/>
  </w:num>
  <w:num w:numId="4">
    <w:abstractNumId w:val="1"/>
  </w:num>
  <w:num w:numId="5">
    <w:abstractNumId w:val="0"/>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NTUwM2E3MjU1MWNjZDFjOTIyZWUzZGQwZTMxYmQifQ=="/>
  </w:docVars>
  <w:rsids>
    <w:rsidRoot w:val="5050217C"/>
    <w:rsid w:val="07EE4AFF"/>
    <w:rsid w:val="124E70DF"/>
    <w:rsid w:val="22D22440"/>
    <w:rsid w:val="373413DB"/>
    <w:rsid w:val="5050217C"/>
    <w:rsid w:val="66B05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仿宋" w:cs="Times New Roman"/>
      <w:kern w:val="2"/>
      <w:sz w:val="32"/>
      <w:szCs w:val="22"/>
      <w:lang w:val="en-US" w:eastAsia="zh-CN" w:bidi="ar-SA"/>
    </w:rPr>
  </w:style>
  <w:style w:type="character" w:default="1" w:styleId="16">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eastAsia="宋体" w:cs="Courier New"/>
    </w:rPr>
  </w:style>
  <w:style w:type="paragraph" w:styleId="3">
    <w:name w:val="Normal Indent"/>
    <w:basedOn w:val="1"/>
    <w:autoRedefine/>
    <w:qFormat/>
    <w:uiPriority w:val="99"/>
    <w:pPr>
      <w:widowControl w:val="0"/>
      <w:adjustRightInd/>
      <w:snapToGrid/>
      <w:spacing w:after="0"/>
      <w:ind w:firstLine="420" w:firstLineChars="200"/>
      <w:jc w:val="both"/>
    </w:pPr>
    <w:rPr>
      <w:rFonts w:ascii="Times New Roman" w:hAnsi="Times New Roman" w:eastAsia="宋体" w:cs="Calibri"/>
      <w:kern w:val="2"/>
      <w:sz w:val="21"/>
      <w:szCs w:val="21"/>
    </w:rPr>
  </w:style>
  <w:style w:type="paragraph" w:styleId="4">
    <w:name w:val="Body Text"/>
    <w:basedOn w:val="1"/>
    <w:autoRedefine/>
    <w:qFormat/>
    <w:uiPriority w:val="0"/>
    <w:rPr>
      <w:b/>
    </w:rPr>
  </w:style>
  <w:style w:type="paragraph" w:styleId="5">
    <w:name w:val="Body Text Indent"/>
    <w:basedOn w:val="1"/>
    <w:next w:val="3"/>
    <w:autoRedefine/>
    <w:qFormat/>
    <w:uiPriority w:val="0"/>
    <w:pPr>
      <w:adjustRightInd w:val="0"/>
      <w:snapToGrid w:val="0"/>
      <w:spacing w:beforeLines="50" w:line="360" w:lineRule="auto"/>
      <w:ind w:firstLine="200" w:firstLineChars="200"/>
    </w:pPr>
    <w:rPr>
      <w:rFonts w:ascii="仿宋_GB2312" w:eastAsia="仿宋_GB2312"/>
      <w:sz w:val="32"/>
      <w:szCs w:val="21"/>
    </w:rPr>
  </w:style>
  <w:style w:type="paragraph" w:styleId="6">
    <w:name w:val="toc 3"/>
    <w:basedOn w:val="1"/>
    <w:next w:val="1"/>
    <w:autoRedefine/>
    <w:qFormat/>
    <w:uiPriority w:val="0"/>
    <w:pPr>
      <w:ind w:left="840" w:leftChars="400"/>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next w:val="9"/>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BlockQuote"/>
    <w:basedOn w:val="1"/>
    <w:autoRedefine/>
    <w:qFormat/>
    <w:uiPriority w:val="0"/>
    <w:pPr>
      <w:ind w:left="1440" w:leftChars="700" w:right="700" w:rightChars="700"/>
      <w:textAlignment w:val="baseline"/>
    </w:pPr>
    <w:rPr>
      <w:rFonts w:ascii="Calibri" w:hAnsi="Calibri" w:eastAsia="宋体" w:cs="Times New Roman"/>
    </w:rPr>
  </w:style>
  <w:style w:type="paragraph" w:styleId="10">
    <w:name w:val="toc 1"/>
    <w:basedOn w:val="1"/>
    <w:next w:val="1"/>
    <w:autoRedefine/>
    <w:qFormat/>
    <w:uiPriority w:val="0"/>
  </w:style>
  <w:style w:type="paragraph" w:styleId="11">
    <w:name w:val="toc 2"/>
    <w:basedOn w:val="1"/>
    <w:next w:val="1"/>
    <w:autoRedefine/>
    <w:qFormat/>
    <w:uiPriority w:val="0"/>
    <w:pPr>
      <w:ind w:left="420" w:leftChars="200"/>
    </w:pPr>
  </w:style>
  <w:style w:type="paragraph" w:styleId="12">
    <w:name w:val="Normal (Web)"/>
    <w:basedOn w:val="1"/>
    <w:autoRedefine/>
    <w:qFormat/>
    <w:uiPriority w:val="0"/>
    <w:pPr>
      <w:widowControl/>
      <w:adjustRightInd/>
      <w:spacing w:before="100" w:beforeAutospacing="1" w:after="100" w:afterAutospacing="1" w:line="384" w:lineRule="auto"/>
      <w:jc w:val="left"/>
      <w:textAlignment w:val="auto"/>
    </w:pPr>
    <w:rPr>
      <w:rFonts w:ascii="宋体" w:hAnsi="宋体" w:cs="宋体"/>
      <w:color w:val="000000"/>
      <w:szCs w:val="21"/>
    </w:rPr>
  </w:style>
  <w:style w:type="paragraph" w:styleId="13">
    <w:name w:val="Body Text First Indent"/>
    <w:basedOn w:val="4"/>
    <w:autoRedefine/>
    <w:qFormat/>
    <w:uiPriority w:val="0"/>
    <w:pPr>
      <w:ind w:firstLine="420" w:firstLineChars="100"/>
    </w:pPr>
  </w:style>
  <w:style w:type="paragraph" w:styleId="14">
    <w:name w:val="Body Text First Indent 2"/>
    <w:basedOn w:val="5"/>
    <w:autoRedefine/>
    <w:qFormat/>
    <w:uiPriority w:val="0"/>
    <w:pPr>
      <w:ind w:firstLine="420" w:firstLineChars="200"/>
    </w:pPr>
  </w:style>
  <w:style w:type="paragraph" w:customStyle="1" w:styleId="17">
    <w:name w:val="CH一级标"/>
    <w:basedOn w:val="1"/>
    <w:autoRedefine/>
    <w:qFormat/>
    <w:uiPriority w:val="0"/>
    <w:pPr>
      <w:numPr>
        <w:ilvl w:val="0"/>
        <w:numId w:val="1"/>
      </w:numPr>
      <w:ind w:firstLineChars="0"/>
      <w:jc w:val="center"/>
      <w:outlineLvl w:val="0"/>
    </w:pPr>
    <w:rPr>
      <w:rFonts w:ascii="Times New Roman" w:hAnsi="Times New Roman" w:eastAsia="宋体"/>
      <w:b/>
      <w:kern w:val="0"/>
      <w:sz w:val="44"/>
      <w:szCs w:val="44"/>
    </w:rPr>
  </w:style>
  <w:style w:type="paragraph" w:customStyle="1" w:styleId="18">
    <w:name w:val="规划正文"/>
    <w:basedOn w:val="1"/>
    <w:autoRedefine/>
    <w:qFormat/>
    <w:uiPriority w:val="0"/>
    <w:pPr>
      <w:widowControl/>
      <w:ind w:firstLine="560" w:firstLineChars="200"/>
      <w:jc w:val="both"/>
    </w:pPr>
    <w:rPr>
      <w:rFonts w:ascii="仿宋" w:hAnsi="仿宋" w:eastAsia="仿宋" w:cs="仿宋"/>
      <w:color w:val="000000"/>
      <w:kern w:val="0"/>
      <w:sz w:val="28"/>
      <w:szCs w:val="28"/>
      <w:lang w:bidi="ar"/>
    </w:rPr>
  </w:style>
  <w:style w:type="paragraph" w:customStyle="1" w:styleId="19">
    <w:name w:val="yg一级标"/>
    <w:basedOn w:val="1"/>
    <w:autoRedefine/>
    <w:qFormat/>
    <w:uiPriority w:val="0"/>
    <w:pPr>
      <w:widowControl/>
      <w:numPr>
        <w:ilvl w:val="0"/>
        <w:numId w:val="2"/>
      </w:numPr>
      <w:pBdr>
        <w:top w:val="none" w:color="auto" w:sz="0" w:space="0"/>
        <w:left w:val="none" w:color="auto" w:sz="0" w:space="0"/>
        <w:bottom w:val="none" w:color="auto" w:sz="0" w:space="0"/>
        <w:right w:val="none" w:color="auto" w:sz="0" w:space="0"/>
      </w:pBdr>
      <w:wordWrap w:val="0"/>
      <w:spacing w:line="720" w:lineRule="auto"/>
      <w:jc w:val="center"/>
      <w:outlineLvl w:val="0"/>
    </w:pPr>
    <w:rPr>
      <w:rFonts w:ascii="Times New Roman" w:hAnsi="Times New Roman" w:eastAsia="黑体"/>
      <w:b/>
      <w:bCs/>
      <w:color w:val="424242"/>
      <w:kern w:val="0"/>
      <w:sz w:val="44"/>
      <w:szCs w:val="44"/>
      <w:lang w:bidi="ar"/>
    </w:rPr>
  </w:style>
  <w:style w:type="paragraph" w:customStyle="1" w:styleId="20">
    <w:name w:val="CH二级标"/>
    <w:basedOn w:val="1"/>
    <w:autoRedefine/>
    <w:qFormat/>
    <w:uiPriority w:val="0"/>
    <w:pPr>
      <w:numPr>
        <w:ilvl w:val="1"/>
        <w:numId w:val="1"/>
      </w:numPr>
      <w:spacing w:line="360" w:lineRule="auto"/>
      <w:ind w:firstLineChars="0"/>
      <w:outlineLvl w:val="1"/>
    </w:pPr>
    <w:rPr>
      <w:rFonts w:ascii="Times New Roman" w:hAnsi="Times New Roman" w:eastAsia="宋体" w:cs="Times New Roman"/>
      <w:b/>
      <w:kern w:val="0"/>
      <w:sz w:val="32"/>
      <w:szCs w:val="32"/>
    </w:rPr>
  </w:style>
  <w:style w:type="paragraph" w:customStyle="1" w:styleId="21">
    <w:name w:val="yg正文"/>
    <w:basedOn w:val="1"/>
    <w:link w:val="22"/>
    <w:autoRedefine/>
    <w:qFormat/>
    <w:uiPriority w:val="0"/>
    <w:pPr>
      <w:widowControl/>
      <w:ind w:firstLine="560" w:firstLineChars="200"/>
      <w:jc w:val="both"/>
    </w:pPr>
    <w:rPr>
      <w:rFonts w:ascii="Times New Roman" w:hAnsi="Times New Roman" w:eastAsia="仿宋" w:cs="Times New Roman"/>
      <w:color w:val="000000"/>
      <w:kern w:val="0"/>
      <w:sz w:val="28"/>
      <w:szCs w:val="28"/>
      <w:lang w:bidi="ar"/>
    </w:rPr>
  </w:style>
  <w:style w:type="character" w:customStyle="1" w:styleId="22">
    <w:name w:val="规划正文 Char"/>
    <w:link w:val="21"/>
    <w:autoRedefine/>
    <w:qFormat/>
    <w:uiPriority w:val="0"/>
    <w:rPr>
      <w:rFonts w:ascii="Times New Roman" w:hAnsi="Times New Roman" w:eastAsia="仿宋" w:cs="Times New Roman"/>
      <w:color w:val="000000"/>
      <w:kern w:val="0"/>
      <w:sz w:val="28"/>
      <w:szCs w:val="28"/>
      <w:lang w:bidi="ar"/>
    </w:rPr>
  </w:style>
  <w:style w:type="paragraph" w:customStyle="1" w:styleId="23">
    <w:name w:val="yg三级标4"/>
    <w:basedOn w:val="1"/>
    <w:next w:val="21"/>
    <w:autoRedefine/>
    <w:qFormat/>
    <w:uiPriority w:val="0"/>
    <w:pPr>
      <w:numPr>
        <w:ilvl w:val="1"/>
        <w:numId w:val="3"/>
      </w:numPr>
      <w:outlineLvl w:val="2"/>
    </w:pPr>
    <w:rPr>
      <w:rFonts w:ascii="Times New Roman" w:hAnsi="Times New Roman" w:eastAsia="仿宋" w:cs="宋体"/>
      <w:b/>
      <w:bCs/>
      <w:sz w:val="28"/>
      <w:szCs w:val="28"/>
    </w:rPr>
  </w:style>
  <w:style w:type="paragraph" w:customStyle="1" w:styleId="24">
    <w:name w:val="简单回函地址"/>
    <w:basedOn w:val="1"/>
    <w:next w:val="25"/>
    <w:autoRedefine/>
    <w:qFormat/>
    <w:uiPriority w:val="0"/>
    <w:rPr>
      <w:rFonts w:ascii="Times New Roman" w:hAnsi="Times New Roman" w:eastAsia="宋体" w:cs="Times New Roman"/>
      <w:sz w:val="24"/>
      <w:szCs w:val="20"/>
    </w:rPr>
  </w:style>
  <w:style w:type="paragraph" w:customStyle="1" w:styleId="25">
    <w:name w:val="正文2"/>
    <w:basedOn w:val="1"/>
    <w:autoRedefine/>
    <w:qFormat/>
    <w:uiPriority w:val="0"/>
    <w:pPr>
      <w:spacing w:line="360" w:lineRule="auto"/>
      <w:ind w:firstLine="200" w:firstLineChars="200"/>
    </w:pPr>
    <w:rPr>
      <w:sz w:val="24"/>
      <w:szCs w:val="24"/>
    </w:rPr>
  </w:style>
  <w:style w:type="paragraph" w:customStyle="1" w:styleId="26">
    <w:name w:val="yg表头4"/>
    <w:basedOn w:val="1"/>
    <w:next w:val="21"/>
    <w:autoRedefine/>
    <w:qFormat/>
    <w:uiPriority w:val="0"/>
    <w:pPr>
      <w:widowControl/>
      <w:numPr>
        <w:ilvl w:val="0"/>
        <w:numId w:val="4"/>
      </w:numPr>
      <w:spacing w:line="360" w:lineRule="auto"/>
      <w:jc w:val="center"/>
    </w:pPr>
    <w:rPr>
      <w:rFonts w:ascii="Times New Roman" w:hAnsi="Times New Roman" w:eastAsia="仿宋" w:cs="Times New Roman"/>
      <w:b/>
      <w:bCs/>
      <w:color w:val="000000"/>
      <w:kern w:val="0"/>
      <w:sz w:val="24"/>
      <w:lang w:bidi="ar"/>
    </w:rPr>
  </w:style>
  <w:style w:type="paragraph" w:customStyle="1" w:styleId="27">
    <w:name w:val="yg表内"/>
    <w:basedOn w:val="1"/>
    <w:next w:val="21"/>
    <w:autoRedefine/>
    <w:qFormat/>
    <w:uiPriority w:val="0"/>
    <w:pPr>
      <w:widowControl/>
      <w:spacing w:line="240" w:lineRule="atLeast"/>
      <w:jc w:val="center"/>
    </w:pPr>
    <w:rPr>
      <w:rFonts w:ascii="Times New Roman" w:hAnsi="Times New Roman" w:eastAsia="仿宋" w:cs="Times New Roman"/>
      <w:color w:val="000000"/>
      <w:kern w:val="0"/>
      <w:sz w:val="24"/>
      <w:lang w:bidi="ar"/>
    </w:rPr>
  </w:style>
  <w:style w:type="paragraph" w:customStyle="1" w:styleId="28">
    <w:name w:val="yg三级标5"/>
    <w:basedOn w:val="1"/>
    <w:autoRedefine/>
    <w:qFormat/>
    <w:uiPriority w:val="0"/>
    <w:pPr>
      <w:widowControl/>
      <w:numPr>
        <w:ilvl w:val="1"/>
        <w:numId w:val="5"/>
      </w:numPr>
      <w:outlineLvl w:val="2"/>
    </w:pPr>
    <w:rPr>
      <w:rFonts w:ascii="Times New Roman" w:hAnsi="Times New Roman" w:eastAsia="仿宋" w:cs="Times New Roman"/>
      <w:b/>
      <w:bCs/>
      <w:color w:val="000000"/>
      <w:kern w:val="0"/>
      <w:sz w:val="28"/>
      <w:szCs w:val="30"/>
      <w:lang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110</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2024-02-23T06:50:00Z</dcterms:created>
  <dc:creator>Link</dc:creator>
  <cp:lastModifiedBy>c</cp:lastModifiedBy>
  <cp:lastPrinted>2024-02-23T06:55:00Z</cp:lastPrinted>
  <dcterms:modified xsi:type="dcterms:W3CDTF">2024-04-23T10:22:42Z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525614AD88984A43A1EAB3ED69432046_11</vt:lpwstr>
  </property>
</Properties>
</file>